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5E1554">
        <w:rPr>
          <w:b/>
          <w:sz w:val="28"/>
          <w:szCs w:val="28"/>
          <w:lang w:val="uk-UA"/>
        </w:rPr>
        <w:t>жовтень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2112C0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112C0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81" w:rsidRDefault="00143081">
      <w:r>
        <w:separator/>
      </w:r>
    </w:p>
  </w:endnote>
  <w:endnote w:type="continuationSeparator" w:id="0">
    <w:p w:rsidR="00143081" w:rsidRDefault="0014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81" w:rsidRDefault="00143081">
      <w:r>
        <w:separator/>
      </w:r>
    </w:p>
  </w:footnote>
  <w:footnote w:type="continuationSeparator" w:id="0">
    <w:p w:rsidR="00143081" w:rsidRDefault="0014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0D"/>
    <w:rsid w:val="00054F1B"/>
    <w:rsid w:val="00143081"/>
    <w:rsid w:val="00170812"/>
    <w:rsid w:val="002112C0"/>
    <w:rsid w:val="005E1554"/>
    <w:rsid w:val="006204A4"/>
    <w:rsid w:val="007C63E1"/>
    <w:rsid w:val="00C42C80"/>
    <w:rsid w:val="00D54E94"/>
    <w:rsid w:val="00D60097"/>
    <w:rsid w:val="00E85EB4"/>
    <w:rsid w:val="00E9191B"/>
    <w:rsid w:val="00EB3C0D"/>
    <w:rsid w:val="00F01AB5"/>
    <w:rsid w:val="00F268CE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338</cp:revision>
  <cp:lastPrinted>2016-06-03T11:26:00Z</cp:lastPrinted>
  <dcterms:created xsi:type="dcterms:W3CDTF">2012-10-11T17:08:00Z</dcterms:created>
  <dcterms:modified xsi:type="dcterms:W3CDTF">2019-01-08T08:29:00Z</dcterms:modified>
  <dc:language>uk-UA</dc:language>
</cp:coreProperties>
</file>