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4C" w:rsidRPr="00D300A7" w:rsidRDefault="00C26E4C" w:rsidP="00F40E2D">
      <w:pPr>
        <w:jc w:val="center"/>
        <w:rPr>
          <w:b/>
          <w:sz w:val="28"/>
          <w:szCs w:val="28"/>
          <w:lang w:val="uk-UA"/>
        </w:rPr>
      </w:pPr>
      <w:r w:rsidRPr="00D300A7">
        <w:rPr>
          <w:b/>
          <w:sz w:val="28"/>
          <w:szCs w:val="28"/>
          <w:lang w:val="uk-UA"/>
        </w:rPr>
        <w:t>Підсумковий висновок</w:t>
      </w:r>
    </w:p>
    <w:p w:rsidR="00C26E4C" w:rsidRPr="00D300A7" w:rsidRDefault="00C26E4C" w:rsidP="00F40E2D">
      <w:pPr>
        <w:jc w:val="center"/>
        <w:rPr>
          <w:b/>
          <w:sz w:val="28"/>
          <w:szCs w:val="28"/>
          <w:lang w:val="uk-UA"/>
        </w:rPr>
      </w:pPr>
      <w:r w:rsidRPr="00D300A7">
        <w:rPr>
          <w:b/>
          <w:sz w:val="28"/>
          <w:szCs w:val="28"/>
          <w:lang w:val="uk-UA"/>
        </w:rPr>
        <w:t>за результатами моніторингу реалізації  проектів громадських організацій за рахунок бюджетних коштів</w:t>
      </w:r>
      <w:r>
        <w:rPr>
          <w:b/>
          <w:sz w:val="28"/>
          <w:szCs w:val="28"/>
          <w:lang w:val="uk-UA"/>
        </w:rPr>
        <w:t xml:space="preserve"> </w:t>
      </w:r>
      <w:r w:rsidRPr="00D300A7">
        <w:rPr>
          <w:b/>
          <w:sz w:val="28"/>
          <w:szCs w:val="28"/>
          <w:lang w:val="uk-UA"/>
        </w:rPr>
        <w:t>у 2013 році</w:t>
      </w:r>
    </w:p>
    <w:p w:rsidR="00C26E4C" w:rsidRPr="00D300A7" w:rsidRDefault="00C26E4C" w:rsidP="00F40E2D">
      <w:pPr>
        <w:jc w:val="center"/>
        <w:rPr>
          <w:b/>
          <w:sz w:val="28"/>
          <w:szCs w:val="28"/>
          <w:lang w:val="uk-UA"/>
        </w:rPr>
      </w:pPr>
    </w:p>
    <w:p w:rsidR="00C26E4C" w:rsidRPr="00D300A7" w:rsidRDefault="00C26E4C" w:rsidP="00E250EB">
      <w:pPr>
        <w:ind w:firstLine="900"/>
        <w:jc w:val="both"/>
        <w:rPr>
          <w:sz w:val="28"/>
          <w:szCs w:val="28"/>
          <w:lang w:val="uk-UA"/>
        </w:rPr>
      </w:pPr>
      <w:r w:rsidRPr="00D300A7">
        <w:rPr>
          <w:sz w:val="28"/>
          <w:szCs w:val="28"/>
          <w:lang w:val="uk-UA"/>
        </w:rPr>
        <w:t>На виконання підпункту 1.3.1 «Сприяння реалізації суспільно-значущих проектів громадських організацій на території області» пункту 1.3. «Підтримка ініціатив суб’єктів громадянського суспільства» Комплексної програми сприяння розвитку громадянського суспільства та інформаційної сфери в Полтавс</w:t>
      </w:r>
      <w:r>
        <w:rPr>
          <w:sz w:val="28"/>
          <w:szCs w:val="28"/>
          <w:lang w:val="uk-UA"/>
        </w:rPr>
        <w:t>ькій області  на 2013-2015 роки, к</w:t>
      </w:r>
      <w:r w:rsidRPr="00D300A7">
        <w:rPr>
          <w:sz w:val="28"/>
          <w:szCs w:val="28"/>
          <w:lang w:val="uk-UA"/>
        </w:rPr>
        <w:t xml:space="preserve">еруючись Порядком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затвердженого 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відповідно до наказу Департаменту № 25-Од  07.05.2013 «Про оголошення конкурсу» оголошено конкурс з визначення програм (проектів, заходів), розроблених громадськими об’єднаннями, для виконання (реалізації) яких надаватиметься фінансова підтримка за рахунок коштів обласного бюджету у 2013 році. </w:t>
      </w:r>
    </w:p>
    <w:p w:rsidR="00C26E4C" w:rsidRPr="00D300A7" w:rsidRDefault="00C26E4C" w:rsidP="007771EE">
      <w:pPr>
        <w:ind w:firstLine="708"/>
        <w:jc w:val="both"/>
        <w:rPr>
          <w:sz w:val="28"/>
          <w:szCs w:val="28"/>
          <w:lang w:val="uk-UA"/>
        </w:rPr>
      </w:pPr>
      <w:r w:rsidRPr="00D300A7">
        <w:rPr>
          <w:sz w:val="28"/>
          <w:szCs w:val="28"/>
          <w:lang w:val="uk-UA"/>
        </w:rPr>
        <w:t xml:space="preserve">Також затверджено перелік цілей та пріоритетних завдань, на реалізацію яких мають спрямовуватися програми (проекти, заходи), перелік видів діяльності, що можуть бути підтримані у межах конкурсу, умови проведення конкурсу, аплікаційні форми. </w:t>
      </w:r>
    </w:p>
    <w:p w:rsidR="00C26E4C" w:rsidRPr="00D300A7" w:rsidRDefault="00C26E4C" w:rsidP="007771EE">
      <w:pPr>
        <w:ind w:firstLine="708"/>
        <w:jc w:val="both"/>
        <w:rPr>
          <w:sz w:val="28"/>
          <w:szCs w:val="28"/>
          <w:lang w:val="uk-UA"/>
        </w:rPr>
      </w:pPr>
      <w:r w:rsidRPr="00D300A7">
        <w:rPr>
          <w:sz w:val="28"/>
          <w:szCs w:val="28"/>
          <w:lang w:val="uk-UA"/>
        </w:rPr>
        <w:t xml:space="preserve">Встановлено граничний обсяг фінансування за рахунок бюджетних коштів одного проекту, що подається для участі у конкурсі, у сумі: мінімальний – 5 тис. грн., максимальний –  20 тис. грн. </w:t>
      </w:r>
    </w:p>
    <w:p w:rsidR="00C26E4C" w:rsidRPr="00D300A7" w:rsidRDefault="00C26E4C" w:rsidP="007771EE">
      <w:pPr>
        <w:ind w:firstLine="708"/>
        <w:jc w:val="both"/>
        <w:rPr>
          <w:sz w:val="28"/>
          <w:szCs w:val="28"/>
          <w:lang w:val="uk-UA"/>
        </w:rPr>
      </w:pPr>
      <w:r w:rsidRPr="00D300A7">
        <w:rPr>
          <w:sz w:val="28"/>
          <w:szCs w:val="28"/>
          <w:lang w:val="uk-UA"/>
        </w:rPr>
        <w:t>Оголошення про проведення конкурсу оприлюднено на офіційному веб-сайті Департаменту та у газеті «Село полтавське» 23.05.2013. Наказом Департаменту №</w:t>
      </w:r>
      <w:r w:rsidRPr="00D300A7">
        <w:rPr>
          <w:sz w:val="28"/>
          <w:szCs w:val="28"/>
          <w:lang w:val="uk-UA"/>
        </w:rPr>
        <w:tab/>
        <w:t>31-Од від 11.06.2013 «Про затвердження складу конкурсної комісії» затверджено склад конкурсної комісії для розгляду конкурсних пропозицій та проведення моніторингу виконання (проектів, заходів), розроблених громадськими об’єднаннями, для виконання (реалізації) яких надаватиметься фінансова підтримка за рахунок коштів обласного бюджету у 2013 році, у кількості 10 осіб.</w:t>
      </w:r>
    </w:p>
    <w:p w:rsidR="00C26E4C" w:rsidRPr="00D300A7" w:rsidRDefault="00C26E4C" w:rsidP="007771EE">
      <w:pPr>
        <w:jc w:val="both"/>
        <w:rPr>
          <w:sz w:val="28"/>
          <w:szCs w:val="28"/>
          <w:lang w:val="uk-UA"/>
        </w:rPr>
      </w:pPr>
      <w:r w:rsidRPr="00D300A7">
        <w:rPr>
          <w:sz w:val="28"/>
          <w:szCs w:val="28"/>
          <w:lang w:val="uk-UA"/>
        </w:rPr>
        <w:tab/>
        <w:t>Термін прийому заяв збіг 23 червня 2013 року. Протягом місячного терміну подання конкурсних пропозицій надійшло 14 проектів. Всі вони подані з дотриманням вимог у електронній та паперовій формі. На першому засіданні конкурсної комісії (дата проведення – 08.07.2013) до участі у конкурсі не допущено один проект як такий, що не мав обласного рівня реалізації.</w:t>
      </w:r>
    </w:p>
    <w:p w:rsidR="00C26E4C" w:rsidRPr="00D300A7" w:rsidRDefault="00C26E4C" w:rsidP="007771EE">
      <w:pPr>
        <w:ind w:firstLine="708"/>
        <w:jc w:val="both"/>
        <w:rPr>
          <w:sz w:val="28"/>
          <w:szCs w:val="28"/>
          <w:lang w:val="uk-UA"/>
        </w:rPr>
      </w:pPr>
      <w:r w:rsidRPr="00D300A7">
        <w:rPr>
          <w:sz w:val="28"/>
          <w:szCs w:val="28"/>
          <w:lang w:val="uk-UA"/>
        </w:rPr>
        <w:t>Захист проектів відбувся на другому засіданні конкурсної комісії 16.07.2013, за підсумками якого переможцями, з урахуванням кількості набраних балів, рішенням комісії 23.07.2013 ухвалено рішення про фінансування 6-ти проектів на загальну суму 100 тис. грн., зокрема: 6 конкурсних пропозицій: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140"/>
        <w:gridCol w:w="3240"/>
        <w:gridCol w:w="1620"/>
      </w:tblGrid>
      <w:tr w:rsidR="00C26E4C" w:rsidRPr="00D300A7" w:rsidTr="005E03F2">
        <w:trPr>
          <w:cantSplit/>
        </w:trPr>
        <w:tc>
          <w:tcPr>
            <w:tcW w:w="1008" w:type="dxa"/>
          </w:tcPr>
          <w:p w:rsidR="00C26E4C" w:rsidRPr="00D300A7" w:rsidRDefault="00C26E4C" w:rsidP="005E03F2">
            <w:pPr>
              <w:ind w:left="360"/>
              <w:rPr>
                <w:lang w:val="uk-UA"/>
              </w:rPr>
            </w:pPr>
          </w:p>
        </w:tc>
        <w:tc>
          <w:tcPr>
            <w:tcW w:w="4140" w:type="dxa"/>
          </w:tcPr>
          <w:p w:rsidR="00C26E4C" w:rsidRPr="00D300A7" w:rsidRDefault="00C26E4C" w:rsidP="00D34937">
            <w:pPr>
              <w:rPr>
                <w:lang w:val="uk-UA"/>
              </w:rPr>
            </w:pPr>
            <w:r w:rsidRPr="00D300A7">
              <w:rPr>
                <w:lang w:val="uk-UA"/>
              </w:rPr>
              <w:t>Назва громадської організації, творчої спілки, що подала конкурсну пропозицію</w:t>
            </w:r>
          </w:p>
        </w:tc>
        <w:tc>
          <w:tcPr>
            <w:tcW w:w="3240" w:type="dxa"/>
          </w:tcPr>
          <w:p w:rsidR="00C26E4C" w:rsidRPr="00D300A7" w:rsidRDefault="00C26E4C" w:rsidP="00D34937">
            <w:pPr>
              <w:rPr>
                <w:lang w:val="uk-UA"/>
              </w:rPr>
            </w:pPr>
            <w:r w:rsidRPr="00D300A7">
              <w:rPr>
                <w:lang w:val="uk-UA"/>
              </w:rPr>
              <w:t>Назва програми (проекту, заходу)</w:t>
            </w:r>
          </w:p>
        </w:tc>
        <w:tc>
          <w:tcPr>
            <w:tcW w:w="1620" w:type="dxa"/>
            <w:vAlign w:val="center"/>
          </w:tcPr>
          <w:p w:rsidR="00C26E4C" w:rsidRPr="00D300A7" w:rsidRDefault="00C26E4C" w:rsidP="005E03F2">
            <w:pPr>
              <w:jc w:val="center"/>
              <w:rPr>
                <w:lang w:val="uk-UA"/>
              </w:rPr>
            </w:pPr>
            <w:r w:rsidRPr="00D300A7">
              <w:rPr>
                <w:lang w:val="uk-UA"/>
              </w:rPr>
              <w:t>Сума коштів, необхідна для виконання програми, грн.</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Обласна громадська організація «Аналітичний Центр «Бюро економічних та соціальних досліджень»</w:t>
            </w:r>
          </w:p>
        </w:tc>
        <w:tc>
          <w:tcPr>
            <w:tcW w:w="3240" w:type="dxa"/>
          </w:tcPr>
          <w:p w:rsidR="00C26E4C" w:rsidRPr="00D300A7" w:rsidRDefault="00C26E4C" w:rsidP="00D34937">
            <w:pPr>
              <w:rPr>
                <w:lang w:val="uk-UA"/>
              </w:rPr>
            </w:pPr>
            <w:r w:rsidRPr="00D300A7">
              <w:rPr>
                <w:lang w:val="uk-UA"/>
              </w:rPr>
              <w:t>Відкрита Полтавщина: програма залучення інститутів громадянського суспільства Полтавської області до заходів Ініціативи «Партнерство «Відкритий Уряд».</w:t>
            </w:r>
          </w:p>
        </w:tc>
        <w:tc>
          <w:tcPr>
            <w:tcW w:w="1620" w:type="dxa"/>
            <w:vAlign w:val="center"/>
          </w:tcPr>
          <w:p w:rsidR="00C26E4C" w:rsidRPr="00D300A7" w:rsidRDefault="00C26E4C" w:rsidP="005E03F2">
            <w:pPr>
              <w:jc w:val="center"/>
              <w:rPr>
                <w:lang w:val="uk-UA"/>
              </w:rPr>
            </w:pPr>
            <w:r w:rsidRPr="00D300A7">
              <w:rPr>
                <w:lang w:val="uk-UA"/>
              </w:rPr>
              <w:t>20000</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Полтавська обласна організація Національної спілки письменників України</w:t>
            </w:r>
          </w:p>
        </w:tc>
        <w:tc>
          <w:tcPr>
            <w:tcW w:w="3240" w:type="dxa"/>
          </w:tcPr>
          <w:p w:rsidR="00C26E4C" w:rsidRPr="00D300A7" w:rsidRDefault="00C26E4C" w:rsidP="00D34937">
            <w:pPr>
              <w:rPr>
                <w:lang w:val="uk-UA"/>
              </w:rPr>
            </w:pPr>
            <w:r w:rsidRPr="00D300A7">
              <w:rPr>
                <w:lang w:val="uk-UA"/>
              </w:rPr>
              <w:t>Пам’ять об’єднає покоління: усна історія Полтавщини</w:t>
            </w:r>
          </w:p>
        </w:tc>
        <w:tc>
          <w:tcPr>
            <w:tcW w:w="1620" w:type="dxa"/>
            <w:vAlign w:val="center"/>
          </w:tcPr>
          <w:p w:rsidR="00C26E4C" w:rsidRPr="00D300A7" w:rsidRDefault="00C26E4C" w:rsidP="005E03F2">
            <w:pPr>
              <w:jc w:val="center"/>
              <w:rPr>
                <w:lang w:val="uk-UA"/>
              </w:rPr>
            </w:pPr>
            <w:r w:rsidRPr="00D300A7">
              <w:rPr>
                <w:lang w:val="uk-UA"/>
              </w:rPr>
              <w:t>19900</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Творче громадське об’єднання «Гілея»</w:t>
            </w:r>
          </w:p>
        </w:tc>
        <w:tc>
          <w:tcPr>
            <w:tcW w:w="3240" w:type="dxa"/>
          </w:tcPr>
          <w:p w:rsidR="00C26E4C" w:rsidRPr="00D300A7" w:rsidRDefault="00C26E4C" w:rsidP="00D34937">
            <w:pPr>
              <w:rPr>
                <w:lang w:val="uk-UA"/>
              </w:rPr>
            </w:pPr>
            <w:r w:rsidRPr="00D300A7">
              <w:rPr>
                <w:lang w:val="uk-UA"/>
              </w:rPr>
              <w:t>Імені Твого ради</w:t>
            </w:r>
          </w:p>
        </w:tc>
        <w:tc>
          <w:tcPr>
            <w:tcW w:w="1620" w:type="dxa"/>
            <w:vAlign w:val="center"/>
          </w:tcPr>
          <w:p w:rsidR="00C26E4C" w:rsidRPr="00D300A7" w:rsidRDefault="00C26E4C" w:rsidP="005E03F2">
            <w:pPr>
              <w:jc w:val="center"/>
              <w:rPr>
                <w:lang w:val="uk-UA"/>
              </w:rPr>
            </w:pPr>
            <w:r w:rsidRPr="00D300A7">
              <w:rPr>
                <w:lang w:val="uk-UA"/>
              </w:rPr>
              <w:t>17600</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ПОМГО «Твій Світ»</w:t>
            </w:r>
          </w:p>
        </w:tc>
        <w:tc>
          <w:tcPr>
            <w:tcW w:w="3240" w:type="dxa"/>
          </w:tcPr>
          <w:p w:rsidR="00C26E4C" w:rsidRPr="00D300A7" w:rsidRDefault="00C26E4C" w:rsidP="00D34937">
            <w:pPr>
              <w:rPr>
                <w:lang w:val="uk-UA"/>
              </w:rPr>
            </w:pPr>
            <w:r w:rsidRPr="00D300A7">
              <w:rPr>
                <w:lang w:val="uk-UA"/>
              </w:rPr>
              <w:t>Посилення ролі молодої громадянської журналістики в міжкультурній і антидискримінаційній освіті</w:t>
            </w:r>
          </w:p>
        </w:tc>
        <w:tc>
          <w:tcPr>
            <w:tcW w:w="1620" w:type="dxa"/>
            <w:vAlign w:val="center"/>
          </w:tcPr>
          <w:p w:rsidR="00C26E4C" w:rsidRPr="00D300A7" w:rsidRDefault="00C26E4C" w:rsidP="005E03F2">
            <w:pPr>
              <w:jc w:val="center"/>
              <w:rPr>
                <w:lang w:val="uk-UA"/>
              </w:rPr>
            </w:pPr>
            <w:r w:rsidRPr="00D300A7">
              <w:rPr>
                <w:lang w:val="uk-UA"/>
              </w:rPr>
              <w:t>10770</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Асоціація «Підтримки об’єднань співвласників будинків»</w:t>
            </w:r>
          </w:p>
        </w:tc>
        <w:tc>
          <w:tcPr>
            <w:tcW w:w="3240" w:type="dxa"/>
          </w:tcPr>
          <w:p w:rsidR="00C26E4C" w:rsidRPr="00D300A7" w:rsidRDefault="00C26E4C" w:rsidP="00D34937">
            <w:pPr>
              <w:rPr>
                <w:lang w:val="uk-UA"/>
              </w:rPr>
            </w:pPr>
            <w:r w:rsidRPr="00D300A7">
              <w:rPr>
                <w:lang w:val="uk-UA"/>
              </w:rPr>
              <w:t>Майбутнє з ОСББ</w:t>
            </w:r>
          </w:p>
        </w:tc>
        <w:tc>
          <w:tcPr>
            <w:tcW w:w="1620" w:type="dxa"/>
            <w:vAlign w:val="center"/>
          </w:tcPr>
          <w:p w:rsidR="00C26E4C" w:rsidRPr="00D300A7" w:rsidRDefault="00C26E4C" w:rsidP="005E03F2">
            <w:pPr>
              <w:jc w:val="center"/>
              <w:rPr>
                <w:lang w:val="uk-UA"/>
              </w:rPr>
            </w:pPr>
            <w:r w:rsidRPr="00D300A7">
              <w:rPr>
                <w:lang w:val="uk-UA"/>
              </w:rPr>
              <w:t>20000</w:t>
            </w:r>
          </w:p>
        </w:tc>
      </w:tr>
      <w:tr w:rsidR="00C26E4C" w:rsidRPr="00D300A7" w:rsidTr="005E03F2">
        <w:trPr>
          <w:cantSplit/>
        </w:trPr>
        <w:tc>
          <w:tcPr>
            <w:tcW w:w="1008" w:type="dxa"/>
          </w:tcPr>
          <w:p w:rsidR="00C26E4C" w:rsidRPr="00D300A7" w:rsidRDefault="00C26E4C" w:rsidP="005E03F2">
            <w:pPr>
              <w:numPr>
                <w:ilvl w:val="0"/>
                <w:numId w:val="1"/>
              </w:numPr>
              <w:rPr>
                <w:lang w:val="uk-UA"/>
              </w:rPr>
            </w:pPr>
          </w:p>
        </w:tc>
        <w:tc>
          <w:tcPr>
            <w:tcW w:w="4140" w:type="dxa"/>
          </w:tcPr>
          <w:p w:rsidR="00C26E4C" w:rsidRPr="00D300A7" w:rsidRDefault="00C26E4C" w:rsidP="00D34937">
            <w:pPr>
              <w:rPr>
                <w:lang w:val="uk-UA"/>
              </w:rPr>
            </w:pPr>
            <w:r w:rsidRPr="00D300A7">
              <w:rPr>
                <w:lang w:val="uk-UA"/>
              </w:rPr>
              <w:t>Релігійна громада прогресивного іудаїзму</w:t>
            </w:r>
          </w:p>
        </w:tc>
        <w:tc>
          <w:tcPr>
            <w:tcW w:w="3240" w:type="dxa"/>
          </w:tcPr>
          <w:p w:rsidR="00C26E4C" w:rsidRPr="00D300A7" w:rsidRDefault="00C26E4C" w:rsidP="005E03F2">
            <w:pPr>
              <w:jc w:val="both"/>
              <w:rPr>
                <w:lang w:val="uk-UA"/>
              </w:rPr>
            </w:pPr>
            <w:r w:rsidRPr="00D300A7">
              <w:rPr>
                <w:lang w:val="uk-UA"/>
              </w:rPr>
              <w:t xml:space="preserve">«Газета «Атіква» </w:t>
            </w:r>
          </w:p>
          <w:p w:rsidR="00C26E4C" w:rsidRPr="00D300A7" w:rsidRDefault="00C26E4C" w:rsidP="00D34937">
            <w:pPr>
              <w:rPr>
                <w:lang w:val="uk-UA"/>
              </w:rPr>
            </w:pPr>
          </w:p>
        </w:tc>
        <w:tc>
          <w:tcPr>
            <w:tcW w:w="1620" w:type="dxa"/>
            <w:vAlign w:val="center"/>
          </w:tcPr>
          <w:p w:rsidR="00C26E4C" w:rsidRPr="00D300A7" w:rsidRDefault="00C26E4C" w:rsidP="005E03F2">
            <w:pPr>
              <w:jc w:val="center"/>
              <w:rPr>
                <w:lang w:val="uk-UA"/>
              </w:rPr>
            </w:pPr>
            <w:r w:rsidRPr="00D300A7">
              <w:rPr>
                <w:lang w:val="uk-UA"/>
              </w:rPr>
              <w:t>11730</w:t>
            </w:r>
          </w:p>
        </w:tc>
      </w:tr>
    </w:tbl>
    <w:p w:rsidR="00C26E4C" w:rsidRPr="00D300A7" w:rsidRDefault="00C26E4C" w:rsidP="00BA7041">
      <w:pPr>
        <w:ind w:firstLine="708"/>
        <w:jc w:val="both"/>
        <w:rPr>
          <w:sz w:val="28"/>
          <w:szCs w:val="28"/>
          <w:lang w:val="uk-UA"/>
        </w:rPr>
      </w:pPr>
    </w:p>
    <w:p w:rsidR="00C26E4C" w:rsidRPr="00D300A7" w:rsidRDefault="00C26E4C" w:rsidP="007771EE">
      <w:pPr>
        <w:ind w:firstLine="900"/>
        <w:jc w:val="both"/>
        <w:rPr>
          <w:sz w:val="28"/>
          <w:lang w:val="uk-UA"/>
        </w:rPr>
      </w:pPr>
      <w:r w:rsidRPr="00D300A7">
        <w:rPr>
          <w:sz w:val="28"/>
          <w:lang w:val="uk-UA"/>
        </w:rPr>
        <w:t>Відповідно  до наказу Департаменту №</w:t>
      </w:r>
      <w:r w:rsidRPr="00D300A7">
        <w:rPr>
          <w:sz w:val="28"/>
          <w:lang w:val="uk-UA"/>
        </w:rPr>
        <w:tab/>
        <w:t>35-Од від 26.07.2013 «Про виконання окремих заходів Комплексної програми  сприяння розвитку громадянського суспільства та інформаційної сфери в Полтавській області на 2013-2015 роки» здійснено розподіл бюджетних асигнувань для виконання громадським організаціям-переможцям проектів.</w:t>
      </w:r>
    </w:p>
    <w:p w:rsidR="00C26E4C" w:rsidRPr="00D300A7" w:rsidRDefault="00C26E4C" w:rsidP="007771EE">
      <w:pPr>
        <w:ind w:firstLine="900"/>
        <w:jc w:val="both"/>
        <w:rPr>
          <w:sz w:val="28"/>
          <w:lang w:val="uk-UA"/>
        </w:rPr>
      </w:pPr>
      <w:r w:rsidRPr="00D300A7">
        <w:rPr>
          <w:sz w:val="28"/>
          <w:lang w:val="uk-UA"/>
        </w:rPr>
        <w:t xml:space="preserve">На виконання проектів </w:t>
      </w:r>
      <w:r>
        <w:rPr>
          <w:sz w:val="28"/>
          <w:lang w:val="uk-UA"/>
        </w:rPr>
        <w:t xml:space="preserve">29.07.2013 </w:t>
      </w:r>
      <w:r w:rsidRPr="00D300A7">
        <w:rPr>
          <w:sz w:val="28"/>
          <w:lang w:val="uk-UA"/>
        </w:rPr>
        <w:t>укладено угоди з виконавцями.</w:t>
      </w:r>
    </w:p>
    <w:p w:rsidR="00C26E4C" w:rsidRPr="00D300A7" w:rsidRDefault="00C26E4C" w:rsidP="007771EE">
      <w:pPr>
        <w:ind w:firstLine="900"/>
        <w:jc w:val="both"/>
        <w:rPr>
          <w:sz w:val="28"/>
          <w:lang w:val="uk-UA"/>
        </w:rPr>
      </w:pPr>
      <w:r w:rsidRPr="00D300A7">
        <w:rPr>
          <w:sz w:val="28"/>
          <w:lang w:val="uk-UA"/>
        </w:rPr>
        <w:t xml:space="preserve">Фінансування заходів програм </w:t>
      </w:r>
      <w:r>
        <w:rPr>
          <w:sz w:val="28"/>
          <w:lang w:val="uk-UA"/>
        </w:rPr>
        <w:t xml:space="preserve">на </w:t>
      </w:r>
      <w:r w:rsidRPr="00E250EB">
        <w:rPr>
          <w:sz w:val="28"/>
          <w:szCs w:val="28"/>
        </w:rPr>
        <w:t>загальну</w:t>
      </w:r>
      <w:r>
        <w:rPr>
          <w:sz w:val="28"/>
          <w:lang w:val="uk-UA"/>
        </w:rPr>
        <w:t xml:space="preserve"> суму </w:t>
      </w:r>
      <w:r w:rsidRPr="00D300A7">
        <w:rPr>
          <w:sz w:val="28"/>
          <w:szCs w:val="28"/>
          <w:lang w:val="uk-UA"/>
        </w:rPr>
        <w:t>100,0 тис. грн.</w:t>
      </w:r>
      <w:r>
        <w:rPr>
          <w:sz w:val="28"/>
          <w:lang w:val="uk-UA"/>
        </w:rPr>
        <w:t xml:space="preserve"> </w:t>
      </w:r>
      <w:r w:rsidRPr="00D300A7">
        <w:rPr>
          <w:sz w:val="28"/>
          <w:lang w:val="uk-UA"/>
        </w:rPr>
        <w:t xml:space="preserve">здійснювалося відповідного до помісячного плану бюджетних асигнувань та у порядку проведення органами Державного казначейства платежів. </w:t>
      </w:r>
    </w:p>
    <w:p w:rsidR="00C26E4C" w:rsidRPr="00D300A7" w:rsidRDefault="00C26E4C" w:rsidP="00E250EB">
      <w:pPr>
        <w:ind w:firstLine="900"/>
        <w:jc w:val="both"/>
        <w:rPr>
          <w:sz w:val="28"/>
          <w:szCs w:val="28"/>
          <w:lang w:val="uk-UA"/>
        </w:rPr>
      </w:pPr>
      <w:r w:rsidRPr="00D300A7">
        <w:rPr>
          <w:sz w:val="28"/>
          <w:lang w:val="uk-UA"/>
        </w:rPr>
        <w:t>У зв’язку з певними бюджетними трудноща</w:t>
      </w:r>
      <w:r>
        <w:rPr>
          <w:sz w:val="28"/>
          <w:lang w:val="uk-UA"/>
        </w:rPr>
        <w:t>ми платежі проводилися невчасно</w:t>
      </w:r>
      <w:r w:rsidRPr="00D300A7">
        <w:rPr>
          <w:sz w:val="28"/>
          <w:lang w:val="uk-UA"/>
        </w:rPr>
        <w:t>.</w:t>
      </w:r>
      <w:r>
        <w:rPr>
          <w:sz w:val="28"/>
          <w:lang w:val="uk-UA"/>
        </w:rPr>
        <w:t xml:space="preserve"> </w:t>
      </w:r>
      <w:r w:rsidRPr="00D300A7">
        <w:rPr>
          <w:sz w:val="28"/>
          <w:szCs w:val="28"/>
          <w:lang w:val="uk-UA"/>
        </w:rPr>
        <w:t>Протягом передбаченого угодами на реалізацію проектів всі проекти виконані</w:t>
      </w:r>
      <w:r>
        <w:rPr>
          <w:sz w:val="28"/>
          <w:szCs w:val="28"/>
          <w:lang w:val="uk-UA"/>
        </w:rPr>
        <w:t xml:space="preserve">. </w:t>
      </w:r>
    </w:p>
    <w:p w:rsidR="00C26E4C" w:rsidRPr="00D300A7" w:rsidRDefault="00C26E4C" w:rsidP="007771EE">
      <w:pPr>
        <w:ind w:firstLine="708"/>
        <w:jc w:val="both"/>
        <w:rPr>
          <w:sz w:val="28"/>
          <w:szCs w:val="28"/>
          <w:lang w:val="uk-UA"/>
        </w:rPr>
      </w:pPr>
      <w:r w:rsidRPr="00D300A7">
        <w:rPr>
          <w:sz w:val="28"/>
          <w:lang w:val="uk-UA"/>
        </w:rPr>
        <w:t>У встановлений термін до 31.01.2014 до Департаменту надійшли звіти про виконання програм за встановленими формами.</w:t>
      </w:r>
      <w:r w:rsidRPr="00D300A7">
        <w:rPr>
          <w:sz w:val="28"/>
          <w:szCs w:val="28"/>
          <w:lang w:val="uk-UA"/>
        </w:rPr>
        <w:t xml:space="preserve"> Всі підсумкові звіти містять копії платіжних доручень, відповідно яких здійснювалася оплата товарів (робіт, послуг), передбачених проектними пропозиціями. </w:t>
      </w:r>
    </w:p>
    <w:p w:rsidR="00C26E4C" w:rsidRPr="00D300A7" w:rsidRDefault="00C26E4C" w:rsidP="007771EE">
      <w:pPr>
        <w:ind w:firstLine="708"/>
        <w:jc w:val="both"/>
        <w:rPr>
          <w:b/>
          <w:sz w:val="28"/>
          <w:szCs w:val="28"/>
          <w:lang w:val="uk-UA"/>
        </w:rPr>
      </w:pPr>
      <w:r w:rsidRPr="00D300A7">
        <w:rPr>
          <w:sz w:val="28"/>
          <w:szCs w:val="28"/>
          <w:lang w:val="uk-UA"/>
        </w:rPr>
        <w:t xml:space="preserve">Моніторингом результатів виконання проектів </w:t>
      </w:r>
      <w:r w:rsidRPr="00D300A7">
        <w:rPr>
          <w:b/>
          <w:sz w:val="28"/>
          <w:szCs w:val="28"/>
          <w:lang w:val="uk-UA"/>
        </w:rPr>
        <w:t>встановлені такі результати реалізації програм:</w:t>
      </w:r>
    </w:p>
    <w:p w:rsidR="00C26E4C" w:rsidRPr="00D300A7" w:rsidRDefault="00C26E4C" w:rsidP="007771EE">
      <w:pPr>
        <w:jc w:val="both"/>
        <w:rPr>
          <w:sz w:val="28"/>
          <w:szCs w:val="28"/>
          <w:lang w:val="uk-UA"/>
        </w:rPr>
      </w:pPr>
    </w:p>
    <w:p w:rsidR="00C26E4C" w:rsidRPr="00D300A7" w:rsidRDefault="00C26E4C" w:rsidP="007771EE">
      <w:pPr>
        <w:ind w:firstLine="708"/>
        <w:jc w:val="both"/>
        <w:rPr>
          <w:b/>
          <w:sz w:val="28"/>
          <w:szCs w:val="28"/>
          <w:lang w:val="uk-UA"/>
        </w:rPr>
      </w:pPr>
      <w:r w:rsidRPr="00D300A7">
        <w:rPr>
          <w:b/>
          <w:sz w:val="28"/>
          <w:szCs w:val="28"/>
          <w:lang w:val="uk-UA"/>
        </w:rPr>
        <w:t>1. Проект «Відкрита Полтавщина: програма залучення інститутів громадянського суспільства Полтавської області до заходів Ініціативи «Партнерство «Відкритий Уряд» (виконавець - Обласна громадська організація «Аналітичний Центр «Бюро економічних та соціальних досліджень», сума виділених коштів – 20000 грн.)</w:t>
      </w:r>
    </w:p>
    <w:p w:rsidR="00C26E4C" w:rsidRPr="00D300A7" w:rsidRDefault="00C26E4C" w:rsidP="007771EE">
      <w:pPr>
        <w:ind w:firstLine="708"/>
        <w:jc w:val="both"/>
        <w:rPr>
          <w:sz w:val="28"/>
          <w:szCs w:val="28"/>
          <w:lang w:val="uk-UA"/>
        </w:rPr>
      </w:pPr>
      <w:r w:rsidRPr="00D300A7">
        <w:rPr>
          <w:sz w:val="28"/>
          <w:szCs w:val="28"/>
          <w:lang w:val="uk-UA"/>
        </w:rPr>
        <w:t xml:space="preserve">Проведено: 11 тренінг-семінарів  з електронного урядування (м. Полтава,  у міських радах м. Кобеляки, м. Миргород, м. Кременчук, м. Комсомольськ, смт Машівка, смт Диканька, м. Зіньків, смт Решетилівка, смт Велика Багачка. Взято участь у запису тематичної телепередачі </w:t>
      </w:r>
      <w:r w:rsidRPr="00D300A7">
        <w:rPr>
          <w:sz w:val="28"/>
          <w:szCs w:val="28"/>
          <w:lang w:val="uk-UA"/>
        </w:rPr>
        <w:tab/>
        <w:t xml:space="preserve">ОДТРК «Лтава», презентовано доповідь на круглому столі з питань впровадження Ініціативи у Полтавській області, розроблено та виготовлено  інформаційний стенд «Ініціатива «Партнерство «Відкритий Уряд», підготовлено  та надруковано посібник «Електронне урядування у територіальних громадах» накладом 500 прим., підготовлено учбові матеріали (150 прим.), розроблено та надруковано «Карту електронних послуг» накладом 2000 прим. Додатково інформацію про Ініцітиву було представлено на місцевому телебаченні (2 телепередачі, загальним хронометражем близько 1,5 години, аудиторія охоплення –  близько 1,0 млн. чоловік) та на міжнародному конгресі з е-урядування у м. Києві (організовано Державним агентством з питань науки та інформатизації). </w:t>
      </w:r>
    </w:p>
    <w:p w:rsidR="00C26E4C" w:rsidRPr="00D300A7" w:rsidRDefault="00C26E4C" w:rsidP="007771EE">
      <w:pPr>
        <w:ind w:firstLine="708"/>
        <w:jc w:val="both"/>
        <w:rPr>
          <w:sz w:val="28"/>
          <w:szCs w:val="28"/>
          <w:lang w:val="uk-UA"/>
        </w:rPr>
      </w:pPr>
      <w:r w:rsidRPr="00D300A7">
        <w:rPr>
          <w:sz w:val="28"/>
          <w:szCs w:val="28"/>
          <w:lang w:val="uk-UA"/>
        </w:rPr>
        <w:t>Заходами охоплено 10 районів області, у яких взяли участь більше 270 осіб, які брали участь не просто як слухачі, а як активні користувачі. Заходи проекту висвітлювалися місцевим телебаченням Миргорода, Кременчука, Полтави, ОД ТРК «Лтава».</w:t>
      </w:r>
    </w:p>
    <w:p w:rsidR="00C26E4C" w:rsidRPr="00D300A7" w:rsidRDefault="00C26E4C" w:rsidP="007771EE">
      <w:pPr>
        <w:ind w:firstLine="720"/>
        <w:jc w:val="both"/>
        <w:rPr>
          <w:sz w:val="28"/>
          <w:szCs w:val="28"/>
          <w:lang w:val="uk-UA"/>
        </w:rPr>
      </w:pPr>
      <w:r w:rsidRPr="00D300A7">
        <w:rPr>
          <w:sz w:val="28"/>
          <w:szCs w:val="28"/>
          <w:lang w:val="uk-UA"/>
        </w:rPr>
        <w:t>Статті витрат: закупівля  малоцінного інвентаря - 1478,1 грн.; канцтовари – 2471,9 грн.; виготовлення інформаційного стенду Ініціатива «Партнерство «Відкритий Уряд» - 2000 грн.; тиражування учбових матеріалів (150 примірників) – 2250 грн., підготовка до друку та друк  інформаційного матеріалу «Карта електронних послуг» - 4000 грн., підготовка до друку та друк  матеріалів «Можливості електронного урядування - для громади» - 5000 грн.; транспортні витрати – 2800 грн.</w:t>
      </w:r>
    </w:p>
    <w:p w:rsidR="00C26E4C" w:rsidRPr="00D300A7" w:rsidRDefault="00C26E4C" w:rsidP="007771EE">
      <w:pPr>
        <w:ind w:firstLine="720"/>
        <w:jc w:val="both"/>
        <w:rPr>
          <w:sz w:val="28"/>
          <w:szCs w:val="28"/>
          <w:lang w:val="uk-UA"/>
        </w:rPr>
      </w:pPr>
    </w:p>
    <w:p w:rsidR="00C26E4C" w:rsidRPr="00D300A7" w:rsidRDefault="00C26E4C" w:rsidP="007771EE">
      <w:pPr>
        <w:ind w:firstLine="708"/>
        <w:jc w:val="both"/>
        <w:rPr>
          <w:b/>
          <w:sz w:val="28"/>
          <w:szCs w:val="28"/>
          <w:lang w:val="uk-UA"/>
        </w:rPr>
      </w:pPr>
      <w:r w:rsidRPr="00D300A7">
        <w:rPr>
          <w:b/>
          <w:sz w:val="28"/>
          <w:szCs w:val="28"/>
          <w:lang w:val="uk-UA"/>
        </w:rPr>
        <w:t xml:space="preserve">2. </w:t>
      </w:r>
      <w:r w:rsidRPr="00D300A7">
        <w:rPr>
          <w:b/>
          <w:sz w:val="28"/>
          <w:szCs w:val="28"/>
          <w:lang w:val="uk-UA"/>
        </w:rPr>
        <w:tab/>
        <w:t>Проект «Пам’ять об’єднає покоління: усна історія Полтавщини» (виконавець - Полтавська обласна організація Національної спілки письменників України, сума виділених коштів – 19 900 грн.)</w:t>
      </w:r>
    </w:p>
    <w:p w:rsidR="00C26E4C" w:rsidRPr="00D300A7" w:rsidRDefault="00C26E4C" w:rsidP="007771EE">
      <w:pPr>
        <w:ind w:firstLine="708"/>
        <w:jc w:val="both"/>
        <w:rPr>
          <w:sz w:val="28"/>
          <w:szCs w:val="28"/>
          <w:lang w:val="uk-UA"/>
        </w:rPr>
      </w:pPr>
      <w:r w:rsidRPr="00D300A7">
        <w:rPr>
          <w:sz w:val="28"/>
          <w:szCs w:val="28"/>
          <w:lang w:val="uk-UA"/>
        </w:rPr>
        <w:t xml:space="preserve">Зібрано 50 свідчень учасників історичних подій – свідків та жертв Голодомору, учасників Великої Вітчизняної війни, остарбайтерів, в'язнів концтаборів, дітей війни. Зібрані в рамках проекту матеріали упорядковано і підготовлено до передачі до Дежавного архіву в Полтавській області. </w:t>
      </w:r>
    </w:p>
    <w:p w:rsidR="00C26E4C" w:rsidRPr="00D300A7" w:rsidRDefault="00C26E4C" w:rsidP="007771EE">
      <w:pPr>
        <w:jc w:val="both"/>
        <w:rPr>
          <w:sz w:val="28"/>
          <w:lang w:val="uk-UA"/>
        </w:rPr>
      </w:pPr>
      <w:r w:rsidRPr="00D300A7">
        <w:rPr>
          <w:sz w:val="28"/>
          <w:lang w:val="uk-UA"/>
        </w:rPr>
        <w:t xml:space="preserve">20 свідчень розміщено на блозі проекту </w:t>
      </w:r>
      <w:hyperlink r:id="rId7" w:history="1">
        <w:r w:rsidRPr="00D300A7">
          <w:rPr>
            <w:rStyle w:val="Hyperlink"/>
            <w:sz w:val="28"/>
            <w:szCs w:val="28"/>
            <w:lang w:val="uk-UA"/>
          </w:rPr>
          <w:t>http://mist-pokolin.blogspot.com/</w:t>
        </w:r>
      </w:hyperlink>
      <w:r w:rsidRPr="00D300A7">
        <w:rPr>
          <w:sz w:val="20"/>
          <w:u w:val="single"/>
          <w:lang w:val="uk-UA"/>
        </w:rPr>
        <w:t xml:space="preserve"> </w:t>
      </w:r>
      <w:r w:rsidRPr="00D300A7">
        <w:rPr>
          <w:sz w:val="28"/>
          <w:lang w:val="uk-UA"/>
        </w:rPr>
        <w:t xml:space="preserve">. Проведено конкурс творчих та дослідницьких робіт «Пам'ять єднає покоління» серед учнівської і студентської молоді. Взяли участь 95 осіб. Найбільш широко представлені Кременчуцький, Полтавський, Лубенський, Семенівський, Великобагачанський, Карлівський, Диканський, Хорольський райони.  Упорядковано і видано збірку, яка містить інтерв'ю з учасниками історичних подій, зібраними у рамках проекту та творами студентів та учнів, написаними на основі спілкування зі свідками. </w:t>
      </w:r>
    </w:p>
    <w:p w:rsidR="00C26E4C" w:rsidRPr="00D300A7" w:rsidRDefault="00C26E4C" w:rsidP="007771EE">
      <w:pPr>
        <w:ind w:firstLine="708"/>
        <w:jc w:val="both"/>
        <w:rPr>
          <w:sz w:val="28"/>
          <w:szCs w:val="28"/>
          <w:lang w:val="uk-UA"/>
        </w:rPr>
      </w:pPr>
      <w:r w:rsidRPr="00D300A7">
        <w:rPr>
          <w:sz w:val="28"/>
          <w:lang w:val="uk-UA"/>
        </w:rPr>
        <w:t>Проведено начальні семінари для учасників Мастерень історичної пам'яті, у</w:t>
      </w:r>
      <w:r w:rsidRPr="00D300A7">
        <w:rPr>
          <w:sz w:val="28"/>
          <w:szCs w:val="28"/>
          <w:lang w:val="uk-UA"/>
        </w:rPr>
        <w:t>часники оволоділи методикою «Усна історія» та «Біографічне кафе». Проведені зустрічі поколінь у форматі «Біографічн</w:t>
      </w:r>
      <w:r>
        <w:rPr>
          <w:sz w:val="28"/>
          <w:szCs w:val="28"/>
          <w:lang w:val="uk-UA"/>
        </w:rPr>
        <w:t>о</w:t>
      </w:r>
      <w:r w:rsidRPr="00D300A7">
        <w:rPr>
          <w:sz w:val="28"/>
          <w:szCs w:val="28"/>
          <w:lang w:val="uk-UA"/>
        </w:rPr>
        <w:t>го кафе». Упорядковано і видано збірку, яка містить методичні рекомендації для учасників майстерень, інтерв'ю з учасниками історичних подій, зібраними у рамках проекту та творами студентів та учнів, написаними на основі спілкування зі свідками. Запланована кількість представників цільової аудиторії, яких охоплено проектом (програмою, заходом) – 400 осіб – співпадає з фактичною.</w:t>
      </w:r>
    </w:p>
    <w:p w:rsidR="00C26E4C" w:rsidRPr="00D300A7" w:rsidRDefault="00C26E4C" w:rsidP="007771EE">
      <w:pPr>
        <w:jc w:val="both"/>
        <w:rPr>
          <w:sz w:val="28"/>
          <w:szCs w:val="28"/>
          <w:lang w:val="uk-UA"/>
        </w:rPr>
      </w:pPr>
      <w:r w:rsidRPr="00D300A7">
        <w:rPr>
          <w:sz w:val="28"/>
          <w:szCs w:val="28"/>
          <w:lang w:val="uk-UA"/>
        </w:rPr>
        <w:t xml:space="preserve">Статті витрат: канцелярські витрати – 10200 грн., поліграфічні витрати (буклет) – 2500 грн; транспортне обслуговування заходів – 2200 грн., обіди для учасників семінарів – 2700 грн., поштові відправлення – 300 грн., методичний посібник для учасників «Майстерень історичної пам’яті» - 5000 грн. </w:t>
      </w:r>
    </w:p>
    <w:p w:rsidR="00C26E4C" w:rsidRPr="00D300A7" w:rsidRDefault="00C26E4C" w:rsidP="007771EE">
      <w:pPr>
        <w:jc w:val="both"/>
        <w:rPr>
          <w:sz w:val="28"/>
          <w:szCs w:val="28"/>
          <w:lang w:val="uk-UA"/>
        </w:rPr>
      </w:pPr>
      <w:r w:rsidRPr="00D300A7">
        <w:rPr>
          <w:sz w:val="28"/>
          <w:szCs w:val="28"/>
          <w:lang w:val="uk-UA"/>
        </w:rPr>
        <w:t xml:space="preserve"> </w:t>
      </w:r>
    </w:p>
    <w:p w:rsidR="00C26E4C" w:rsidRPr="00D300A7" w:rsidRDefault="00C26E4C" w:rsidP="007771EE">
      <w:pPr>
        <w:ind w:firstLine="708"/>
        <w:jc w:val="both"/>
        <w:rPr>
          <w:b/>
          <w:sz w:val="28"/>
          <w:szCs w:val="28"/>
          <w:lang w:val="uk-UA"/>
        </w:rPr>
      </w:pPr>
      <w:r w:rsidRPr="00D300A7">
        <w:rPr>
          <w:b/>
          <w:sz w:val="28"/>
          <w:szCs w:val="28"/>
          <w:lang w:val="uk-UA"/>
        </w:rPr>
        <w:t>3. Проект «Імені Твого ради» (виконавець - Творче громадське об’єднання «Гілея», сума виділених коштів – 17 600 грн.)</w:t>
      </w:r>
    </w:p>
    <w:p w:rsidR="00C26E4C" w:rsidRPr="00D300A7" w:rsidRDefault="00C26E4C" w:rsidP="007771EE">
      <w:pPr>
        <w:ind w:firstLine="708"/>
        <w:jc w:val="both"/>
        <w:rPr>
          <w:sz w:val="28"/>
          <w:szCs w:val="28"/>
          <w:lang w:val="uk-UA"/>
        </w:rPr>
      </w:pPr>
      <w:r w:rsidRPr="00D300A7">
        <w:rPr>
          <w:sz w:val="28"/>
          <w:szCs w:val="28"/>
          <w:lang w:val="uk-UA"/>
        </w:rPr>
        <w:t>Проведено заходи: 3 благодійних концерти-лекції Камерного хору «Гілея» у м. Полтава, Комсомольськ, Гадяч; 3 фестивальних концерти за участю запрошених провідних хорових колективів України: муніципальний камерний хор (м. Кіровоград), камерний хор Київського інституту музики ім. Р.М.Глієра (м.Київ), вокальний ансамбль «Свят-Коло»</w:t>
      </w:r>
      <w:r w:rsidRPr="00D300A7">
        <w:rPr>
          <w:bCs/>
          <w:sz w:val="28"/>
          <w:szCs w:val="28"/>
          <w:lang w:val="uk-UA"/>
        </w:rPr>
        <w:t xml:space="preserve"> (м.Київ) 10, 16-17.11.2013. </w:t>
      </w:r>
      <w:r w:rsidRPr="00D300A7">
        <w:rPr>
          <w:sz w:val="28"/>
          <w:szCs w:val="28"/>
          <w:lang w:val="uk-UA"/>
        </w:rPr>
        <w:tab/>
      </w:r>
    </w:p>
    <w:p w:rsidR="00C26E4C" w:rsidRPr="00D300A7" w:rsidRDefault="00C26E4C" w:rsidP="007771EE">
      <w:pPr>
        <w:ind w:firstLine="708"/>
        <w:jc w:val="both"/>
        <w:rPr>
          <w:sz w:val="28"/>
          <w:szCs w:val="28"/>
          <w:lang w:val="uk-UA"/>
        </w:rPr>
      </w:pPr>
      <w:r w:rsidRPr="00D300A7">
        <w:rPr>
          <w:sz w:val="28"/>
          <w:szCs w:val="28"/>
          <w:lang w:val="uk-UA"/>
        </w:rPr>
        <w:t>Кількість представників цільової аудиторії програми, фактично  охоплених у процесі її виконання у звітному періоді, складає 1620 осіб, що перевищує  заплановану (1500) кількість.</w:t>
      </w:r>
    </w:p>
    <w:p w:rsidR="00C26E4C" w:rsidRPr="00D300A7" w:rsidRDefault="00C26E4C" w:rsidP="007771EE">
      <w:pPr>
        <w:ind w:firstLine="708"/>
        <w:jc w:val="both"/>
        <w:rPr>
          <w:sz w:val="28"/>
          <w:szCs w:val="28"/>
          <w:lang w:val="uk-UA"/>
        </w:rPr>
      </w:pPr>
      <w:r w:rsidRPr="00D300A7">
        <w:rPr>
          <w:sz w:val="28"/>
          <w:szCs w:val="28"/>
          <w:lang w:val="uk-UA"/>
        </w:rPr>
        <w:t>Статті витрат: оплата транспортних послуг-3000 грн., харчування іногородніх учасників - 2400 грн.; оплата озвучення заходів – 6000 грн.;  проживання іногородніх учасників -4400 грн.;  грн. Добові – 1800 грн.</w:t>
      </w:r>
    </w:p>
    <w:p w:rsidR="00C26E4C" w:rsidRPr="00D300A7" w:rsidRDefault="00C26E4C" w:rsidP="007771EE">
      <w:pPr>
        <w:rPr>
          <w:szCs w:val="28"/>
          <w:lang w:val="uk-UA"/>
        </w:rPr>
      </w:pPr>
    </w:p>
    <w:p w:rsidR="00C26E4C" w:rsidRPr="00D300A7" w:rsidRDefault="00C26E4C" w:rsidP="007771EE">
      <w:pPr>
        <w:ind w:firstLine="708"/>
        <w:jc w:val="both"/>
        <w:rPr>
          <w:b/>
          <w:sz w:val="28"/>
          <w:szCs w:val="28"/>
          <w:lang w:val="uk-UA"/>
        </w:rPr>
      </w:pPr>
      <w:r w:rsidRPr="00D300A7">
        <w:rPr>
          <w:b/>
          <w:sz w:val="28"/>
          <w:szCs w:val="28"/>
          <w:lang w:val="uk-UA"/>
        </w:rPr>
        <w:t>4. Проект «Посилення ролі молодої громадянської журналістики в міжкультурній і антидискримінаційній освіті»</w:t>
      </w:r>
      <w:r w:rsidRPr="00D300A7">
        <w:rPr>
          <w:b/>
          <w:lang w:val="uk-UA"/>
        </w:rPr>
        <w:t xml:space="preserve"> </w:t>
      </w:r>
      <w:r w:rsidRPr="00D300A7">
        <w:rPr>
          <w:b/>
          <w:sz w:val="28"/>
          <w:szCs w:val="28"/>
          <w:lang w:val="uk-UA"/>
        </w:rPr>
        <w:t>(виконавець -</w:t>
      </w:r>
      <w:r w:rsidRPr="00D300A7">
        <w:rPr>
          <w:b/>
          <w:lang w:val="uk-UA"/>
        </w:rPr>
        <w:t xml:space="preserve"> </w:t>
      </w:r>
      <w:r w:rsidRPr="00D300A7">
        <w:rPr>
          <w:b/>
          <w:sz w:val="28"/>
          <w:szCs w:val="28"/>
          <w:lang w:val="uk-UA"/>
        </w:rPr>
        <w:t>ПОМГО «Твій Світ», сума виділених коштів – 10 770 грн.)</w:t>
      </w:r>
    </w:p>
    <w:p w:rsidR="00C26E4C" w:rsidRPr="00D300A7" w:rsidRDefault="00C26E4C" w:rsidP="007771EE">
      <w:pPr>
        <w:ind w:firstLine="720"/>
        <w:jc w:val="both"/>
        <w:rPr>
          <w:sz w:val="28"/>
          <w:szCs w:val="28"/>
          <w:lang w:val="uk-UA"/>
        </w:rPr>
      </w:pPr>
      <w:r w:rsidRPr="00D300A7">
        <w:rPr>
          <w:sz w:val="28"/>
          <w:szCs w:val="28"/>
          <w:lang w:val="uk-UA"/>
        </w:rPr>
        <w:t xml:space="preserve">Проведено заходи: «Школа молодого журналіста» - тренінгові навчання з проблем міжкультурної освіти, інтерактивні зустрічі, методи мозкового штурму, дискусії та інтерактивні заняття  «Орієнтація в сучасних засобах масової інформації» та «Я, суспільство, держава», «Молода журналістика та міжкультурна освіта», інформаційну кампанію, написання статей, звітів, заміток, інтерв’ю. Проведено конкурс для молодих журналістів на краще висвітлення проблеми толерантності. Семінари для педагогів.  (у 7-и містах - мм. Лубни, Гребінка, Лохвиця, Пирятин, Хорол, Полтава, смт Оржиця); розроблено, виготовлено та розповсюджено під час заходів 500 примірників Путівника для журналістів «Толерантність зробить нас краще» та  2000 буклетів «Роль засобів масової інформації у вихованні толерантності у молоді». Всього участь у заходах взяло 2096 осіб. </w:t>
      </w:r>
    </w:p>
    <w:p w:rsidR="00C26E4C" w:rsidRPr="00D300A7" w:rsidRDefault="00C26E4C" w:rsidP="007771EE">
      <w:pPr>
        <w:ind w:firstLine="720"/>
        <w:jc w:val="both"/>
        <w:rPr>
          <w:sz w:val="28"/>
          <w:szCs w:val="28"/>
          <w:lang w:val="uk-UA"/>
        </w:rPr>
      </w:pPr>
      <w:r w:rsidRPr="00D300A7">
        <w:rPr>
          <w:sz w:val="28"/>
          <w:szCs w:val="28"/>
          <w:lang w:val="uk-UA"/>
        </w:rPr>
        <w:t>Статті витрат: поліграфічні витрати - 5070 грн.; канцелярські витрати – 3600 грн.; витрати на нагородження (призи) - 2100 грн.</w:t>
      </w:r>
    </w:p>
    <w:p w:rsidR="00C26E4C" w:rsidRPr="00D300A7" w:rsidRDefault="00C26E4C" w:rsidP="007771EE">
      <w:pPr>
        <w:rPr>
          <w:sz w:val="28"/>
          <w:szCs w:val="28"/>
          <w:lang w:val="uk-UA"/>
        </w:rPr>
      </w:pPr>
    </w:p>
    <w:p w:rsidR="00C26E4C" w:rsidRPr="00D300A7" w:rsidRDefault="00C26E4C" w:rsidP="007771EE">
      <w:pPr>
        <w:ind w:firstLine="708"/>
        <w:jc w:val="both"/>
        <w:rPr>
          <w:b/>
          <w:sz w:val="28"/>
          <w:szCs w:val="28"/>
          <w:lang w:val="uk-UA"/>
        </w:rPr>
      </w:pPr>
      <w:r w:rsidRPr="00D300A7">
        <w:rPr>
          <w:b/>
          <w:sz w:val="28"/>
          <w:szCs w:val="28"/>
          <w:lang w:val="uk-UA"/>
        </w:rPr>
        <w:t>5. Проект «Майбутнє з ОСББ» (виконавець - Асоціація «Підтримки об’єднань співвласників будинків», сума виділених коштів – 20 000 грн.)</w:t>
      </w:r>
    </w:p>
    <w:p w:rsidR="00C26E4C" w:rsidRPr="00D300A7" w:rsidRDefault="00C26E4C" w:rsidP="007771EE">
      <w:pPr>
        <w:ind w:firstLine="708"/>
        <w:jc w:val="both"/>
        <w:rPr>
          <w:sz w:val="28"/>
          <w:szCs w:val="28"/>
          <w:lang w:val="uk-UA"/>
        </w:rPr>
      </w:pPr>
      <w:r w:rsidRPr="00D300A7">
        <w:rPr>
          <w:sz w:val="28"/>
          <w:szCs w:val="28"/>
          <w:lang w:val="uk-UA"/>
        </w:rPr>
        <w:t>Проведено 3 семінари для бажаючих створити ОСББ та 5 тренінгів для вже створених ОСББ у м. Хорол, м. Карлівка, трьох районах м. Полтава, як і було заплановано. Як і було заплановано, участь у заходах взяли 85 осіб. Завдяки проведеним семінарам слухачами було створено 12 ініціативних груп по створенню ОСББ. Тренінги допомогли систематизувати роботу голів ОСББ, що призвело до покращення ведення фінансово-господарської діяльності по будинках, та підвищенню якості технічної експлуатації.</w:t>
      </w:r>
    </w:p>
    <w:p w:rsidR="00C26E4C" w:rsidRPr="00D300A7" w:rsidRDefault="00C26E4C" w:rsidP="007771EE">
      <w:pPr>
        <w:ind w:firstLine="708"/>
        <w:jc w:val="both"/>
        <w:rPr>
          <w:sz w:val="28"/>
          <w:szCs w:val="28"/>
          <w:lang w:val="uk-UA"/>
        </w:rPr>
      </w:pPr>
      <w:r w:rsidRPr="00D300A7">
        <w:rPr>
          <w:sz w:val="28"/>
          <w:szCs w:val="28"/>
          <w:lang w:val="uk-UA"/>
        </w:rPr>
        <w:t xml:space="preserve">Статті витрат: придбано офісне обладнання (принтер, сканер, радіотелефон) - 2736,83 грн.; канцтовари - 5663,17 грн.; інші витрати (поліграфічні послуги по розробці, тиражуванню інформаційних листівок, поліграфічні послуги по розробці, тиражуванню комплектів методичних матеріалів) – 11600 грн. </w:t>
      </w:r>
    </w:p>
    <w:p w:rsidR="00C26E4C" w:rsidRPr="00D300A7" w:rsidRDefault="00C26E4C" w:rsidP="007771EE">
      <w:pPr>
        <w:ind w:firstLine="708"/>
        <w:jc w:val="both"/>
        <w:rPr>
          <w:sz w:val="28"/>
          <w:szCs w:val="28"/>
          <w:lang w:val="uk-UA"/>
        </w:rPr>
      </w:pPr>
    </w:p>
    <w:p w:rsidR="00C26E4C" w:rsidRPr="00D300A7" w:rsidRDefault="00C26E4C" w:rsidP="007771EE">
      <w:pPr>
        <w:ind w:firstLine="708"/>
        <w:jc w:val="both"/>
        <w:rPr>
          <w:b/>
          <w:sz w:val="28"/>
          <w:szCs w:val="28"/>
          <w:lang w:val="uk-UA"/>
        </w:rPr>
      </w:pPr>
      <w:r w:rsidRPr="00D300A7">
        <w:rPr>
          <w:b/>
          <w:sz w:val="28"/>
          <w:szCs w:val="28"/>
          <w:lang w:val="uk-UA"/>
        </w:rPr>
        <w:t>6. Проект «Газета «Атіква»  (виконавець - релігійна громада прогресивного іудаїзму,  сума виділених коштів – 11 730 грн.)</w:t>
      </w:r>
    </w:p>
    <w:p w:rsidR="00C26E4C" w:rsidRPr="00D300A7" w:rsidRDefault="00C26E4C" w:rsidP="007771EE">
      <w:pPr>
        <w:ind w:firstLine="708"/>
        <w:jc w:val="both"/>
        <w:rPr>
          <w:sz w:val="28"/>
          <w:szCs w:val="28"/>
          <w:lang w:val="uk-UA"/>
        </w:rPr>
      </w:pPr>
      <w:r w:rsidRPr="00D300A7">
        <w:rPr>
          <w:sz w:val="28"/>
          <w:szCs w:val="28"/>
          <w:lang w:val="uk-UA"/>
        </w:rPr>
        <w:t xml:space="preserve">Видано один номер газети обсягом 4500 примірників  у листопаді та грудні 2013 р – здвоєний номер обсягом 4500 примірників,  які розповсюджено через іудейські громади Полтавської області. </w:t>
      </w:r>
    </w:p>
    <w:p w:rsidR="00C26E4C" w:rsidRPr="00D300A7" w:rsidRDefault="00C26E4C" w:rsidP="007771EE">
      <w:pPr>
        <w:ind w:firstLine="708"/>
        <w:jc w:val="both"/>
        <w:rPr>
          <w:sz w:val="28"/>
          <w:szCs w:val="28"/>
          <w:lang w:val="uk-UA"/>
        </w:rPr>
      </w:pPr>
      <w:r w:rsidRPr="00D300A7">
        <w:rPr>
          <w:sz w:val="28"/>
          <w:szCs w:val="28"/>
          <w:lang w:val="uk-UA"/>
        </w:rPr>
        <w:t>Статті витрат: кошти, виділені на реалізацію проекту, витрачено на друк газети.</w:t>
      </w:r>
    </w:p>
    <w:p w:rsidR="00C26E4C" w:rsidRPr="00D300A7" w:rsidRDefault="00C26E4C" w:rsidP="00BA7041">
      <w:pPr>
        <w:jc w:val="both"/>
        <w:rPr>
          <w:sz w:val="28"/>
          <w:szCs w:val="28"/>
          <w:lang w:val="uk-UA"/>
        </w:rPr>
      </w:pPr>
    </w:p>
    <w:p w:rsidR="00C26E4C" w:rsidRPr="00D300A7" w:rsidRDefault="00C26E4C" w:rsidP="00BA7041">
      <w:pPr>
        <w:jc w:val="both"/>
        <w:rPr>
          <w:b/>
          <w:sz w:val="28"/>
          <w:szCs w:val="28"/>
          <w:lang w:val="uk-UA"/>
        </w:rPr>
      </w:pPr>
      <w:r w:rsidRPr="00D300A7">
        <w:rPr>
          <w:b/>
          <w:sz w:val="28"/>
          <w:szCs w:val="28"/>
          <w:lang w:val="uk-UA"/>
        </w:rPr>
        <w:t xml:space="preserve">Висновок: </w:t>
      </w:r>
    </w:p>
    <w:p w:rsidR="00C26E4C" w:rsidRPr="00D300A7" w:rsidRDefault="00C26E4C" w:rsidP="00BA7041">
      <w:pPr>
        <w:jc w:val="both"/>
        <w:rPr>
          <w:sz w:val="28"/>
          <w:szCs w:val="28"/>
          <w:lang w:val="uk-UA"/>
        </w:rPr>
      </w:pPr>
      <w:r w:rsidRPr="00D300A7">
        <w:rPr>
          <w:sz w:val="28"/>
          <w:szCs w:val="28"/>
          <w:lang w:val="uk-UA"/>
        </w:rPr>
        <w:t>1. Проекти громадських організацій, на виконання (реалізацію) яких було надано фінансову підтримку у 2013 році</w:t>
      </w:r>
      <w:r>
        <w:rPr>
          <w:sz w:val="28"/>
          <w:szCs w:val="28"/>
          <w:lang w:val="uk-UA"/>
        </w:rPr>
        <w:t>,</w:t>
      </w:r>
      <w:r w:rsidRPr="00D300A7">
        <w:rPr>
          <w:sz w:val="28"/>
          <w:szCs w:val="28"/>
          <w:lang w:val="uk-UA"/>
        </w:rPr>
        <w:t xml:space="preserve"> вважати такими, що виконані.</w:t>
      </w:r>
    </w:p>
    <w:p w:rsidR="00C26E4C" w:rsidRPr="00D300A7" w:rsidRDefault="00C26E4C" w:rsidP="00195BAB">
      <w:pPr>
        <w:jc w:val="both"/>
        <w:rPr>
          <w:sz w:val="28"/>
          <w:szCs w:val="28"/>
          <w:lang w:val="uk-UA"/>
        </w:rPr>
      </w:pPr>
      <w:r w:rsidRPr="00D300A7">
        <w:rPr>
          <w:sz w:val="28"/>
          <w:szCs w:val="28"/>
          <w:lang w:val="uk-UA"/>
        </w:rPr>
        <w:t>2. Зазначений Підсумковий висновок за результатами моніторингу реалізації  проектів громадських організацій за рахунок бюджетних коштів у 2013 році пропонується затвердити та оприлюднити у триденний термін від дня засідання конкурсної комісії для розгляду конкурсних пропозицій та проведення моніторингу реалізації проектів громадських організацій за рахунок бюджетних коштів у 2013 році на офіційному веб-сайті Департаменту інформаційної діяльності та комунікацій з громадськістю облдержадміністрації.</w:t>
      </w:r>
    </w:p>
    <w:p w:rsidR="00C26E4C" w:rsidRPr="00D300A7" w:rsidRDefault="00C26E4C" w:rsidP="00BA7041">
      <w:pPr>
        <w:jc w:val="both"/>
        <w:rPr>
          <w:sz w:val="28"/>
          <w:szCs w:val="28"/>
          <w:lang w:val="uk-UA"/>
        </w:rPr>
      </w:pPr>
    </w:p>
    <w:p w:rsidR="00C26E4C" w:rsidRPr="00D300A7" w:rsidRDefault="00C26E4C" w:rsidP="00BA7041">
      <w:pPr>
        <w:rPr>
          <w:sz w:val="28"/>
          <w:szCs w:val="28"/>
          <w:lang w:val="uk-UA"/>
        </w:rPr>
      </w:pPr>
      <w:r w:rsidRPr="00D300A7">
        <w:rPr>
          <w:sz w:val="28"/>
          <w:szCs w:val="28"/>
          <w:lang w:val="uk-UA"/>
        </w:rPr>
        <w:t xml:space="preserve">Секретар комісії, заступник  начальника управління </w:t>
      </w:r>
    </w:p>
    <w:p w:rsidR="00C26E4C" w:rsidRPr="00D300A7" w:rsidRDefault="00C26E4C" w:rsidP="00BA7041">
      <w:pPr>
        <w:rPr>
          <w:sz w:val="28"/>
          <w:szCs w:val="28"/>
          <w:lang w:val="uk-UA"/>
        </w:rPr>
      </w:pPr>
      <w:r w:rsidRPr="00D300A7">
        <w:rPr>
          <w:sz w:val="28"/>
          <w:szCs w:val="28"/>
          <w:lang w:val="uk-UA"/>
        </w:rPr>
        <w:t xml:space="preserve">– начальник відділу комунікацій з громадськими </w:t>
      </w:r>
    </w:p>
    <w:p w:rsidR="00C26E4C" w:rsidRPr="00D300A7" w:rsidRDefault="00C26E4C" w:rsidP="00BA7041">
      <w:pPr>
        <w:rPr>
          <w:sz w:val="28"/>
          <w:szCs w:val="28"/>
          <w:lang w:val="uk-UA"/>
        </w:rPr>
      </w:pPr>
      <w:r w:rsidRPr="00D300A7">
        <w:rPr>
          <w:sz w:val="28"/>
          <w:szCs w:val="28"/>
          <w:lang w:val="uk-UA"/>
        </w:rPr>
        <w:t xml:space="preserve">об’єднаннями управління з питань внутрішньої політики </w:t>
      </w:r>
    </w:p>
    <w:p w:rsidR="00C26E4C" w:rsidRDefault="00C26E4C">
      <w:pPr>
        <w:rPr>
          <w:sz w:val="28"/>
          <w:szCs w:val="28"/>
          <w:lang w:val="uk-UA"/>
        </w:rPr>
      </w:pPr>
      <w:r>
        <w:rPr>
          <w:sz w:val="28"/>
          <w:szCs w:val="28"/>
          <w:lang w:val="uk-UA"/>
        </w:rPr>
        <w:t xml:space="preserve">Департаменту  </w:t>
      </w:r>
      <w:r w:rsidRPr="007115BA">
        <w:rPr>
          <w:sz w:val="28"/>
          <w:szCs w:val="28"/>
          <w:lang w:val="uk-UA"/>
        </w:rPr>
        <w:t xml:space="preserve">інформаційної діяльності та комунікацій </w:t>
      </w:r>
    </w:p>
    <w:p w:rsidR="00C26E4C" w:rsidRPr="00D300A7" w:rsidRDefault="00C26E4C">
      <w:pPr>
        <w:rPr>
          <w:sz w:val="28"/>
          <w:szCs w:val="28"/>
          <w:lang w:val="uk-UA"/>
        </w:rPr>
      </w:pPr>
      <w:r w:rsidRPr="007115BA">
        <w:rPr>
          <w:sz w:val="28"/>
          <w:szCs w:val="28"/>
          <w:lang w:val="uk-UA"/>
        </w:rPr>
        <w:t>з громадськістю облдержадміністрації</w:t>
      </w:r>
      <w:r w:rsidRPr="00D300A7">
        <w:rPr>
          <w:sz w:val="28"/>
          <w:szCs w:val="28"/>
          <w:lang w:val="uk-UA"/>
        </w:rPr>
        <w:t xml:space="preserve">   </w:t>
      </w:r>
      <w:r>
        <w:rPr>
          <w:sz w:val="28"/>
          <w:szCs w:val="28"/>
          <w:lang w:val="uk-UA"/>
        </w:rPr>
        <w:t xml:space="preserve">                                                  О</w:t>
      </w:r>
      <w:r w:rsidRPr="00D300A7">
        <w:rPr>
          <w:sz w:val="28"/>
          <w:szCs w:val="28"/>
          <w:lang w:val="uk-UA"/>
        </w:rPr>
        <w:t>.А. Отич</w:t>
      </w:r>
    </w:p>
    <w:sectPr w:rsidR="00C26E4C" w:rsidRPr="00D300A7" w:rsidSect="00F23534">
      <w:headerReference w:type="even" r:id="rId8"/>
      <w:headerReference w:type="default" r:id="rId9"/>
      <w:pgSz w:w="11906" w:h="16838"/>
      <w:pgMar w:top="1079"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4C" w:rsidRDefault="00C26E4C">
      <w:r>
        <w:separator/>
      </w:r>
    </w:p>
  </w:endnote>
  <w:endnote w:type="continuationSeparator" w:id="0">
    <w:p w:rsidR="00C26E4C" w:rsidRDefault="00C26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4C" w:rsidRDefault="00C26E4C">
      <w:r>
        <w:separator/>
      </w:r>
    </w:p>
  </w:footnote>
  <w:footnote w:type="continuationSeparator" w:id="0">
    <w:p w:rsidR="00C26E4C" w:rsidRDefault="00C26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4C" w:rsidRDefault="00C26E4C"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E4C" w:rsidRDefault="00C26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4C" w:rsidRDefault="00C26E4C" w:rsidP="006351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26E4C" w:rsidRDefault="00C26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968"/>
    <w:multiLevelType w:val="hybridMultilevel"/>
    <w:tmpl w:val="219EF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4DA"/>
    <w:rsid w:val="00032D01"/>
    <w:rsid w:val="000413B1"/>
    <w:rsid w:val="000B0800"/>
    <w:rsid w:val="00104291"/>
    <w:rsid w:val="00137CF0"/>
    <w:rsid w:val="00195BAB"/>
    <w:rsid w:val="001A1493"/>
    <w:rsid w:val="001B0BF7"/>
    <w:rsid w:val="001E02BD"/>
    <w:rsid w:val="00222C2B"/>
    <w:rsid w:val="002418A2"/>
    <w:rsid w:val="00276988"/>
    <w:rsid w:val="002F180D"/>
    <w:rsid w:val="00326D53"/>
    <w:rsid w:val="00375059"/>
    <w:rsid w:val="003A4F2D"/>
    <w:rsid w:val="003B64DA"/>
    <w:rsid w:val="0040374F"/>
    <w:rsid w:val="00483795"/>
    <w:rsid w:val="004B11E2"/>
    <w:rsid w:val="004C1312"/>
    <w:rsid w:val="004C42DC"/>
    <w:rsid w:val="005144C4"/>
    <w:rsid w:val="005404F2"/>
    <w:rsid w:val="005416BB"/>
    <w:rsid w:val="00556645"/>
    <w:rsid w:val="00576320"/>
    <w:rsid w:val="005E03F2"/>
    <w:rsid w:val="005E5EDB"/>
    <w:rsid w:val="00600EA8"/>
    <w:rsid w:val="006106CD"/>
    <w:rsid w:val="00632130"/>
    <w:rsid w:val="006351ED"/>
    <w:rsid w:val="006652CC"/>
    <w:rsid w:val="0068047D"/>
    <w:rsid w:val="006B673A"/>
    <w:rsid w:val="006F7041"/>
    <w:rsid w:val="00706586"/>
    <w:rsid w:val="007115BA"/>
    <w:rsid w:val="00722B41"/>
    <w:rsid w:val="00732878"/>
    <w:rsid w:val="007771EE"/>
    <w:rsid w:val="00785721"/>
    <w:rsid w:val="007C7C48"/>
    <w:rsid w:val="0081573A"/>
    <w:rsid w:val="00847099"/>
    <w:rsid w:val="00855D12"/>
    <w:rsid w:val="00860888"/>
    <w:rsid w:val="00861A3D"/>
    <w:rsid w:val="0087184C"/>
    <w:rsid w:val="00875AF0"/>
    <w:rsid w:val="0090323E"/>
    <w:rsid w:val="00937B8D"/>
    <w:rsid w:val="00983BFF"/>
    <w:rsid w:val="009A109F"/>
    <w:rsid w:val="00A076B8"/>
    <w:rsid w:val="00A123DC"/>
    <w:rsid w:val="00A16494"/>
    <w:rsid w:val="00A95339"/>
    <w:rsid w:val="00AB450C"/>
    <w:rsid w:val="00AD4FEA"/>
    <w:rsid w:val="00AF0029"/>
    <w:rsid w:val="00AF742F"/>
    <w:rsid w:val="00B176B5"/>
    <w:rsid w:val="00B46EE4"/>
    <w:rsid w:val="00BA03F1"/>
    <w:rsid w:val="00BA7041"/>
    <w:rsid w:val="00BC100C"/>
    <w:rsid w:val="00BE0321"/>
    <w:rsid w:val="00C26E4C"/>
    <w:rsid w:val="00C52745"/>
    <w:rsid w:val="00C81E71"/>
    <w:rsid w:val="00CE2C12"/>
    <w:rsid w:val="00CF4DDF"/>
    <w:rsid w:val="00D300A7"/>
    <w:rsid w:val="00D34937"/>
    <w:rsid w:val="00D65F87"/>
    <w:rsid w:val="00D87727"/>
    <w:rsid w:val="00DB2CA3"/>
    <w:rsid w:val="00DC0078"/>
    <w:rsid w:val="00DF70F0"/>
    <w:rsid w:val="00E21A8B"/>
    <w:rsid w:val="00E250EB"/>
    <w:rsid w:val="00E464A1"/>
    <w:rsid w:val="00E535A7"/>
    <w:rsid w:val="00E626A3"/>
    <w:rsid w:val="00E90148"/>
    <w:rsid w:val="00E92007"/>
    <w:rsid w:val="00E938D4"/>
    <w:rsid w:val="00EC03F9"/>
    <w:rsid w:val="00EF2BB9"/>
    <w:rsid w:val="00EF57CB"/>
    <w:rsid w:val="00EF66DB"/>
    <w:rsid w:val="00F13434"/>
    <w:rsid w:val="00F1498B"/>
    <w:rsid w:val="00F211FE"/>
    <w:rsid w:val="00F23534"/>
    <w:rsid w:val="00F35DB8"/>
    <w:rsid w:val="00F40E2D"/>
    <w:rsid w:val="00F4622A"/>
    <w:rsid w:val="00F52F00"/>
    <w:rsid w:val="00F53356"/>
    <w:rsid w:val="00FC5C12"/>
    <w:rsid w:val="00FD496E"/>
    <w:rsid w:val="00FD69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86"/>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w:basedOn w:val="Normal"/>
    <w:uiPriority w:val="99"/>
    <w:rsid w:val="003B64DA"/>
    <w:rPr>
      <w:rFonts w:ascii="Verdana" w:hAnsi="Verdana" w:cs="Verdana"/>
      <w:sz w:val="20"/>
      <w:szCs w:val="20"/>
      <w:lang w:val="en-US" w:eastAsia="en-US"/>
    </w:rPr>
  </w:style>
  <w:style w:type="paragraph" w:styleId="PlainText">
    <w:name w:val="Plain Text"/>
    <w:basedOn w:val="Normal"/>
    <w:link w:val="PlainTextChar"/>
    <w:uiPriority w:val="99"/>
    <w:rsid w:val="003B64DA"/>
    <w:pPr>
      <w:spacing w:before="100" w:beforeAutospacing="1" w:after="100" w:afterAutospacing="1"/>
    </w:pPr>
  </w:style>
  <w:style w:type="character" w:customStyle="1" w:styleId="PlainTextChar">
    <w:name w:val="Plain Text Char"/>
    <w:basedOn w:val="DefaultParagraphFont"/>
    <w:link w:val="PlainText"/>
    <w:uiPriority w:val="99"/>
    <w:semiHidden/>
    <w:locked/>
    <w:rsid w:val="00E626A3"/>
    <w:rPr>
      <w:rFonts w:ascii="Courier New" w:hAnsi="Courier New" w:cs="Courier New"/>
      <w:sz w:val="20"/>
      <w:szCs w:val="20"/>
      <w:lang w:val="ru-RU" w:eastAsia="ru-RU"/>
    </w:rPr>
  </w:style>
  <w:style w:type="character" w:styleId="Hyperlink">
    <w:name w:val="Hyperlink"/>
    <w:basedOn w:val="DefaultParagraphFont"/>
    <w:uiPriority w:val="99"/>
    <w:rsid w:val="00BA7041"/>
    <w:rPr>
      <w:rFonts w:cs="Times New Roman"/>
      <w:color w:val="0000FF"/>
      <w:u w:val="single"/>
    </w:rPr>
  </w:style>
  <w:style w:type="paragraph" w:styleId="BalloonText">
    <w:name w:val="Balloon Text"/>
    <w:basedOn w:val="Normal"/>
    <w:link w:val="BalloonTextChar"/>
    <w:uiPriority w:val="99"/>
    <w:semiHidden/>
    <w:rsid w:val="00DF70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A3"/>
    <w:rPr>
      <w:rFonts w:cs="Times New Roman"/>
      <w:sz w:val="2"/>
      <w:lang w:val="ru-RU" w:eastAsia="ru-RU"/>
    </w:rPr>
  </w:style>
  <w:style w:type="table" w:styleId="TableGrid">
    <w:name w:val="Table Grid"/>
    <w:basedOn w:val="TableNormal"/>
    <w:uiPriority w:val="99"/>
    <w:locked/>
    <w:rsid w:val="007771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3534"/>
    <w:pPr>
      <w:tabs>
        <w:tab w:val="center" w:pos="4819"/>
        <w:tab w:val="right" w:pos="9639"/>
      </w:tabs>
    </w:pPr>
  </w:style>
  <w:style w:type="character" w:customStyle="1" w:styleId="HeaderChar">
    <w:name w:val="Header Char"/>
    <w:basedOn w:val="DefaultParagraphFont"/>
    <w:link w:val="Header"/>
    <w:uiPriority w:val="99"/>
    <w:semiHidden/>
    <w:locked/>
    <w:rsid w:val="00576320"/>
    <w:rPr>
      <w:rFonts w:cs="Times New Roman"/>
      <w:sz w:val="24"/>
      <w:szCs w:val="24"/>
      <w:lang w:val="ru-RU" w:eastAsia="ru-RU"/>
    </w:rPr>
  </w:style>
  <w:style w:type="character" w:styleId="PageNumber">
    <w:name w:val="page number"/>
    <w:basedOn w:val="DefaultParagraphFont"/>
    <w:uiPriority w:val="99"/>
    <w:rsid w:val="00F23534"/>
    <w:rPr>
      <w:rFonts w:cs="Times New Roman"/>
    </w:rPr>
  </w:style>
</w:styles>
</file>

<file path=word/webSettings.xml><?xml version="1.0" encoding="utf-8"?>
<w:webSettings xmlns:r="http://schemas.openxmlformats.org/officeDocument/2006/relationships" xmlns:w="http://schemas.openxmlformats.org/wordprocessingml/2006/main">
  <w:divs>
    <w:div w:id="17847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st-pokoli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5</Pages>
  <Words>1951</Words>
  <Characters>11126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Friend</cp:lastModifiedBy>
  <cp:revision>47</cp:revision>
  <cp:lastPrinted>2013-02-28T07:00:00Z</cp:lastPrinted>
  <dcterms:created xsi:type="dcterms:W3CDTF">2013-02-25T16:28:00Z</dcterms:created>
  <dcterms:modified xsi:type="dcterms:W3CDTF">2014-03-07T06:48:00Z</dcterms:modified>
</cp:coreProperties>
</file>