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58" w:rsidRPr="00C04638" w:rsidRDefault="00824058" w:rsidP="00C04638">
      <w:pPr>
        <w:ind w:left="3600"/>
        <w:rPr>
          <w:sz w:val="28"/>
          <w:szCs w:val="28"/>
          <w:lang w:val="uk-UA"/>
        </w:rPr>
      </w:pPr>
      <w:r w:rsidRPr="00C04638">
        <w:rPr>
          <w:sz w:val="28"/>
          <w:szCs w:val="28"/>
          <w:lang w:val="uk-UA"/>
        </w:rPr>
        <w:t xml:space="preserve">ЗАТВЕРДЖЕНО </w:t>
      </w:r>
    </w:p>
    <w:p w:rsidR="00824058" w:rsidRDefault="00824058" w:rsidP="00C04638">
      <w:pPr>
        <w:ind w:left="3600"/>
        <w:rPr>
          <w:sz w:val="28"/>
          <w:szCs w:val="28"/>
          <w:lang w:val="uk-UA"/>
        </w:rPr>
      </w:pPr>
      <w:r w:rsidRPr="00C04638">
        <w:rPr>
          <w:sz w:val="28"/>
          <w:szCs w:val="28"/>
          <w:lang w:val="uk-UA"/>
        </w:rPr>
        <w:t xml:space="preserve">Рішення засідання конкурсної комісії для розгляду конкурсних пропозицій та проведення моніторингу реалізації проектів громадських організацій за рахунок бюджетних коштів </w:t>
      </w:r>
    </w:p>
    <w:p w:rsidR="00824058" w:rsidRDefault="00824058" w:rsidP="00C04638">
      <w:pPr>
        <w:ind w:left="3600"/>
        <w:rPr>
          <w:sz w:val="28"/>
          <w:szCs w:val="28"/>
          <w:lang w:val="uk-UA"/>
        </w:rPr>
      </w:pPr>
      <w:r w:rsidRPr="00C04638">
        <w:rPr>
          <w:sz w:val="28"/>
          <w:szCs w:val="28"/>
          <w:lang w:val="uk-UA"/>
        </w:rPr>
        <w:t>у 2016 році</w:t>
      </w:r>
      <w:r>
        <w:rPr>
          <w:sz w:val="28"/>
          <w:szCs w:val="28"/>
          <w:lang w:val="uk-UA"/>
        </w:rPr>
        <w:t xml:space="preserve"> </w:t>
      </w:r>
    </w:p>
    <w:p w:rsidR="00824058" w:rsidRPr="00C04638" w:rsidRDefault="00824058" w:rsidP="00C04638">
      <w:pPr>
        <w:ind w:left="3600"/>
        <w:rPr>
          <w:sz w:val="28"/>
          <w:szCs w:val="28"/>
          <w:lang w:val="uk-UA"/>
        </w:rPr>
      </w:pPr>
      <w:r>
        <w:rPr>
          <w:sz w:val="28"/>
          <w:szCs w:val="28"/>
          <w:lang w:val="uk-UA"/>
        </w:rPr>
        <w:t xml:space="preserve">Протокол № 5 від </w:t>
      </w:r>
      <w:r w:rsidRPr="00C04638">
        <w:rPr>
          <w:sz w:val="28"/>
          <w:szCs w:val="28"/>
          <w:lang w:val="uk-UA"/>
        </w:rPr>
        <w:t xml:space="preserve">10 березня 2017 року </w:t>
      </w:r>
    </w:p>
    <w:p w:rsidR="00824058" w:rsidRDefault="00824058" w:rsidP="00F40E2D">
      <w:pPr>
        <w:jc w:val="center"/>
        <w:rPr>
          <w:b/>
          <w:sz w:val="28"/>
          <w:szCs w:val="28"/>
          <w:lang w:val="uk-UA"/>
        </w:rPr>
      </w:pPr>
    </w:p>
    <w:p w:rsidR="00824058" w:rsidRPr="00000980" w:rsidRDefault="00824058" w:rsidP="00F40E2D">
      <w:pPr>
        <w:jc w:val="center"/>
        <w:rPr>
          <w:b/>
          <w:sz w:val="28"/>
          <w:szCs w:val="28"/>
          <w:lang w:val="uk-UA"/>
        </w:rPr>
      </w:pPr>
      <w:r w:rsidRPr="00000980">
        <w:rPr>
          <w:b/>
          <w:sz w:val="28"/>
          <w:szCs w:val="28"/>
          <w:lang w:val="uk-UA"/>
        </w:rPr>
        <w:t>Підсумковий висновок</w:t>
      </w:r>
    </w:p>
    <w:p w:rsidR="00824058" w:rsidRPr="00000980" w:rsidRDefault="00824058" w:rsidP="00F40E2D">
      <w:pPr>
        <w:jc w:val="center"/>
        <w:rPr>
          <w:b/>
          <w:sz w:val="28"/>
          <w:szCs w:val="28"/>
          <w:lang w:val="uk-UA"/>
        </w:rPr>
      </w:pPr>
      <w:r w:rsidRPr="00000980">
        <w:rPr>
          <w:b/>
          <w:sz w:val="28"/>
          <w:szCs w:val="28"/>
          <w:lang w:val="uk-UA"/>
        </w:rPr>
        <w:t>за результатами моніторингу реалізації  проектів громадських організацій за рахунок бюджетних коштів у 2016 році</w:t>
      </w:r>
    </w:p>
    <w:p w:rsidR="00824058" w:rsidRPr="00000980" w:rsidRDefault="00824058" w:rsidP="00F40E2D">
      <w:pPr>
        <w:jc w:val="center"/>
        <w:rPr>
          <w:b/>
          <w:sz w:val="28"/>
          <w:szCs w:val="28"/>
          <w:lang w:val="uk-UA"/>
        </w:rPr>
      </w:pPr>
    </w:p>
    <w:p w:rsidR="00824058" w:rsidRPr="00000980" w:rsidRDefault="00824058" w:rsidP="00C47FAE">
      <w:pPr>
        <w:ind w:firstLine="720"/>
        <w:jc w:val="both"/>
        <w:rPr>
          <w:sz w:val="28"/>
          <w:szCs w:val="28"/>
        </w:rPr>
      </w:pPr>
      <w:r w:rsidRPr="00000980">
        <w:rPr>
          <w:sz w:val="28"/>
          <w:szCs w:val="28"/>
          <w:lang w:val="uk-UA"/>
        </w:rPr>
        <w:t>На виконання на виконання пункту 1.3.1 Напрямів діяльності та заходів Комплексної програми комунікацій влади з громадськістю та розвитку інформаційної сфери в Полтавській області на 2016-2018 роки, к</w:t>
      </w:r>
      <w:r w:rsidRPr="00000980">
        <w:rPr>
          <w:sz w:val="28"/>
          <w:szCs w:val="28"/>
        </w:rPr>
        <w:t>еруючись Порядком 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затвердженого постановою Кабінету Міністрів України від 16 березня 2016 р. № 194  «Про внесення змін до постанови Кабінету Міністрів України від 12 жовтня 2011 р. № 1049»,  відповідно до наказу Департаменту</w:t>
      </w:r>
      <w:r w:rsidRPr="00000980">
        <w:rPr>
          <w:sz w:val="28"/>
          <w:szCs w:val="28"/>
          <w:lang w:val="uk-UA"/>
        </w:rPr>
        <w:t xml:space="preserve"> інформаційної діяльності та комунікацій з громадськістю облдержадміністрації </w:t>
      </w:r>
      <w:r w:rsidRPr="00000980">
        <w:rPr>
          <w:sz w:val="28"/>
          <w:szCs w:val="28"/>
        </w:rPr>
        <w:t xml:space="preserve">№ 30-Од  07.06.2016 «Про оголошення конкурсу» </w:t>
      </w:r>
      <w:r w:rsidRPr="00000980">
        <w:rPr>
          <w:sz w:val="28"/>
          <w:szCs w:val="28"/>
          <w:lang w:val="uk-UA"/>
        </w:rPr>
        <w:t xml:space="preserve">було </w:t>
      </w:r>
      <w:r w:rsidRPr="00000980">
        <w:rPr>
          <w:sz w:val="28"/>
          <w:szCs w:val="28"/>
        </w:rPr>
        <w:t xml:space="preserve">оголошено конкурс з визначення програм (проектів, заходів), розроблених громадськими об’єднаннями, для виконання (реалізації) яких надаватиметься фінансова підтримка за рахунок коштів обласного бюджету у 2016 році. </w:t>
      </w:r>
      <w:r w:rsidRPr="00000980">
        <w:rPr>
          <w:sz w:val="28"/>
          <w:szCs w:val="28"/>
          <w:lang w:val="uk-UA"/>
        </w:rPr>
        <w:t>З</w:t>
      </w:r>
      <w:r w:rsidRPr="00000980">
        <w:rPr>
          <w:sz w:val="28"/>
          <w:szCs w:val="28"/>
        </w:rPr>
        <w:t xml:space="preserve">атверджено перелік цілей та пріоритетних завдань, на реалізацію яких мають спрямовуватися програми (проекти, заходи), перелік видів діяльності, що можуть бути підтримані у межах конкурсу, умови проведення конкурсу, аплікаційні форми. </w:t>
      </w:r>
    </w:p>
    <w:p w:rsidR="00824058" w:rsidRPr="00000980" w:rsidRDefault="00824058" w:rsidP="00C47FAE">
      <w:pPr>
        <w:ind w:firstLine="720"/>
        <w:jc w:val="both"/>
        <w:rPr>
          <w:sz w:val="28"/>
          <w:szCs w:val="28"/>
        </w:rPr>
      </w:pPr>
      <w:r w:rsidRPr="00000980">
        <w:rPr>
          <w:sz w:val="28"/>
          <w:szCs w:val="28"/>
        </w:rPr>
        <w:t xml:space="preserve">Встановлено граничний обсяг фінансування за рахунок бюджетних коштів одного проекту, що подається для участі у конкурсі, у сумі 20 тис. грн. </w:t>
      </w:r>
    </w:p>
    <w:p w:rsidR="00824058" w:rsidRPr="00000980" w:rsidRDefault="00824058" w:rsidP="00C47FAE">
      <w:pPr>
        <w:ind w:firstLine="720"/>
        <w:jc w:val="both"/>
        <w:rPr>
          <w:sz w:val="28"/>
          <w:szCs w:val="28"/>
          <w:lang w:val="uk-UA"/>
        </w:rPr>
      </w:pPr>
      <w:r w:rsidRPr="00000980">
        <w:rPr>
          <w:sz w:val="28"/>
          <w:szCs w:val="28"/>
        </w:rPr>
        <w:t>Захист проектів відбувся на третьому засіданні конкурсної комісії 25 серпня 2016</w:t>
      </w:r>
      <w:r w:rsidRPr="00000980">
        <w:rPr>
          <w:sz w:val="28"/>
          <w:szCs w:val="28"/>
          <w:lang w:val="uk-UA"/>
        </w:rPr>
        <w:t xml:space="preserve"> р.,</w:t>
      </w:r>
      <w:r w:rsidRPr="00000980">
        <w:rPr>
          <w:sz w:val="28"/>
          <w:szCs w:val="28"/>
        </w:rPr>
        <w:t xml:space="preserve"> за підсумками якого</w:t>
      </w:r>
      <w:r w:rsidRPr="00000980">
        <w:rPr>
          <w:sz w:val="28"/>
          <w:szCs w:val="28"/>
          <w:lang w:val="uk-UA"/>
        </w:rPr>
        <w:t>,</w:t>
      </w:r>
      <w:r w:rsidRPr="00000980">
        <w:rPr>
          <w:sz w:val="28"/>
          <w:szCs w:val="28"/>
        </w:rPr>
        <w:t xml:space="preserve"> з урахуванням кількості набраних балів, рішенням комісії від 30.08.2016 ухвалено рішення про фінансування 10-ти проектів на загальну суму 200 тис. грн. Разом з тим одна організація відмовилася від отримання коштів, внаслідок чого у 2016 р. реалізовано 9 проектів семи громадських організацій на суму 180 тис. грн.. З усіма громадськими об’єднаннями – учасниками конкурсу було укладено договори</w:t>
      </w:r>
      <w:r w:rsidRPr="00000980">
        <w:rPr>
          <w:sz w:val="28"/>
          <w:szCs w:val="28"/>
          <w:lang w:val="uk-UA"/>
        </w:rPr>
        <w:t xml:space="preserve"> на реалізацію проектів</w:t>
      </w:r>
      <w:r w:rsidRPr="00000980">
        <w:rPr>
          <w:sz w:val="28"/>
          <w:szCs w:val="28"/>
        </w:rPr>
        <w:t xml:space="preserve">. </w:t>
      </w:r>
    </w:p>
    <w:p w:rsidR="00824058" w:rsidRPr="00000980" w:rsidRDefault="00824058" w:rsidP="00C47FAE">
      <w:pPr>
        <w:ind w:firstLine="720"/>
        <w:jc w:val="both"/>
        <w:rPr>
          <w:sz w:val="28"/>
          <w:szCs w:val="28"/>
        </w:rPr>
      </w:pPr>
      <w:r w:rsidRPr="00000980">
        <w:rPr>
          <w:sz w:val="28"/>
          <w:szCs w:val="28"/>
          <w:lang w:val="uk-UA"/>
        </w:rPr>
        <w:t xml:space="preserve">Протягом вересня – грудня 2017 р. реалізовувалися проекти громадських організацій – переможців. </w:t>
      </w:r>
      <w:r w:rsidRPr="00000980">
        <w:rPr>
          <w:sz w:val="28"/>
          <w:szCs w:val="28"/>
        </w:rPr>
        <w:t>Всі виконавці у термін до 15 січня 2017 року подали звіти про реалізацію проектів.</w:t>
      </w:r>
    </w:p>
    <w:p w:rsidR="00824058" w:rsidRPr="00000980" w:rsidRDefault="00824058" w:rsidP="007771EE">
      <w:pPr>
        <w:ind w:firstLine="708"/>
        <w:jc w:val="both"/>
        <w:rPr>
          <w:b/>
          <w:sz w:val="28"/>
          <w:szCs w:val="28"/>
          <w:lang w:val="uk-UA"/>
        </w:rPr>
      </w:pPr>
      <w:r w:rsidRPr="00000980">
        <w:rPr>
          <w:sz w:val="28"/>
          <w:szCs w:val="28"/>
          <w:lang w:val="uk-UA"/>
        </w:rPr>
        <w:t xml:space="preserve">Моніторингом результатів виконання проектів </w:t>
      </w:r>
      <w:r w:rsidRPr="00000980">
        <w:rPr>
          <w:b/>
          <w:sz w:val="28"/>
          <w:szCs w:val="28"/>
          <w:lang w:val="uk-UA"/>
        </w:rPr>
        <w:t>встановлені такі результати реалізації програм:</w:t>
      </w:r>
    </w:p>
    <w:p w:rsidR="00824058" w:rsidRDefault="00824058" w:rsidP="00000980">
      <w:pPr>
        <w:ind w:firstLine="720"/>
        <w:jc w:val="both"/>
        <w:rPr>
          <w:b/>
          <w:sz w:val="28"/>
          <w:szCs w:val="28"/>
          <w:lang w:val="uk-UA"/>
        </w:rPr>
      </w:pPr>
    </w:p>
    <w:p w:rsidR="00824058" w:rsidRPr="00000980" w:rsidRDefault="00824058" w:rsidP="00000980">
      <w:pPr>
        <w:ind w:firstLine="720"/>
        <w:jc w:val="both"/>
        <w:rPr>
          <w:b/>
          <w:sz w:val="28"/>
          <w:szCs w:val="28"/>
          <w:lang w:val="uk-UA"/>
        </w:rPr>
      </w:pPr>
      <w:r>
        <w:rPr>
          <w:b/>
          <w:sz w:val="28"/>
          <w:szCs w:val="28"/>
          <w:lang w:val="uk-UA"/>
        </w:rPr>
        <w:t>Проект «</w:t>
      </w:r>
      <w:r w:rsidRPr="00000980">
        <w:rPr>
          <w:b/>
          <w:sz w:val="28"/>
          <w:szCs w:val="28"/>
        </w:rPr>
        <w:t>Сучасний медіасвіт як простір для творчості активної молоді</w:t>
      </w:r>
      <w:r>
        <w:rPr>
          <w:b/>
          <w:sz w:val="28"/>
          <w:szCs w:val="28"/>
          <w:lang w:val="uk-UA"/>
        </w:rPr>
        <w:t>»</w:t>
      </w:r>
      <w:r w:rsidRPr="00000980">
        <w:rPr>
          <w:b/>
          <w:sz w:val="28"/>
          <w:szCs w:val="28"/>
        </w:rPr>
        <w:t xml:space="preserve"> (ПОО НСПУ)</w:t>
      </w:r>
    </w:p>
    <w:p w:rsidR="00824058" w:rsidRPr="00000980" w:rsidRDefault="00824058" w:rsidP="00000980">
      <w:pPr>
        <w:ind w:firstLine="720"/>
        <w:jc w:val="both"/>
        <w:rPr>
          <w:sz w:val="28"/>
          <w:szCs w:val="28"/>
          <w:lang w:val="uk-UA"/>
        </w:rPr>
      </w:pPr>
      <w:r w:rsidRPr="00000980">
        <w:rPr>
          <w:sz w:val="28"/>
          <w:szCs w:val="28"/>
          <w:lang w:val="uk-UA"/>
        </w:rPr>
        <w:t>Проведено: семінар-тренінг: “Сучасне прочитання публіцистичної спадщини”, майстер-клас: “Слідами знайденого автора: взаємодія з художньо-публіцистичним текстом”, семінар-тренінг “Літературна критика: персоналії, жанри, проблеми”, тренінги “Техніка проведення інтерв’ю” та «Соціальні мережі – платформа для побудови репутації», Літературну майстерню, семінари “Творчість як спосіб самореалізації" та “Поетичний текст і його складові», автограф-сесії з полтавськими письменниками, флеш-моб “Територія медіакультури” школах області. Згідно із планом діяльності розроблено брошуру “Абетку медіакультури” та листівку медіаграмотності, які розповсюджено серед шкіл області. При укладанні брошури було залучено викладачів кафедри журналістики  Полтавського педагогічного університету ім. В.Г. Короленка.  Брошура також доступна в електронному варіанті на сторінці Полтавської обласної організації НСПУ «Територія голосу».</w:t>
      </w:r>
    </w:p>
    <w:p w:rsidR="00824058" w:rsidRPr="00000980" w:rsidRDefault="00824058" w:rsidP="00000980">
      <w:pPr>
        <w:ind w:firstLine="720"/>
        <w:jc w:val="both"/>
        <w:rPr>
          <w:b/>
          <w:sz w:val="28"/>
          <w:szCs w:val="28"/>
          <w:lang w:val="uk-UA"/>
        </w:rPr>
      </w:pPr>
      <w:r>
        <w:rPr>
          <w:b/>
          <w:sz w:val="28"/>
          <w:szCs w:val="28"/>
          <w:lang w:val="uk-UA"/>
        </w:rPr>
        <w:t>Проект</w:t>
      </w:r>
      <w:r w:rsidRPr="00000980">
        <w:rPr>
          <w:b/>
          <w:sz w:val="28"/>
          <w:szCs w:val="28"/>
        </w:rPr>
        <w:t xml:space="preserve"> «Прометей» - школа лідерів для людей з інвалідністю</w:t>
      </w:r>
      <w:r>
        <w:rPr>
          <w:b/>
          <w:sz w:val="28"/>
          <w:szCs w:val="28"/>
          <w:lang w:val="uk-UA"/>
        </w:rPr>
        <w:t xml:space="preserve"> </w:t>
      </w:r>
      <w:r w:rsidRPr="00000980">
        <w:rPr>
          <w:b/>
          <w:sz w:val="28"/>
          <w:szCs w:val="28"/>
        </w:rPr>
        <w:t>(ПОО ВОІ «Союз організацій інвалідів України»)</w:t>
      </w:r>
      <w:r w:rsidRPr="00000980">
        <w:rPr>
          <w:b/>
          <w:sz w:val="28"/>
          <w:szCs w:val="28"/>
          <w:lang w:val="uk-UA"/>
        </w:rPr>
        <w:t>.</w:t>
      </w:r>
    </w:p>
    <w:p w:rsidR="00824058" w:rsidRPr="00000980" w:rsidRDefault="00824058" w:rsidP="00000980">
      <w:pPr>
        <w:ind w:firstLine="720"/>
        <w:jc w:val="both"/>
        <w:rPr>
          <w:sz w:val="28"/>
          <w:szCs w:val="28"/>
          <w:lang w:val="uk-UA"/>
        </w:rPr>
      </w:pPr>
      <w:r w:rsidRPr="00000980">
        <w:rPr>
          <w:sz w:val="28"/>
          <w:szCs w:val="28"/>
          <w:lang w:val="uk-UA"/>
        </w:rPr>
        <w:t>Проведено 6 навчальних модулів а також два виїздних засідання в Хорольському</w:t>
      </w:r>
      <w:r>
        <w:rPr>
          <w:sz w:val="28"/>
          <w:szCs w:val="28"/>
          <w:lang w:val="uk-UA"/>
        </w:rPr>
        <w:t xml:space="preserve"> </w:t>
      </w:r>
      <w:r w:rsidRPr="00000980">
        <w:rPr>
          <w:sz w:val="28"/>
          <w:szCs w:val="28"/>
          <w:lang w:val="uk-UA"/>
        </w:rPr>
        <w:t>та Лубенському районах. Здійснювалася організація системної роботи по наданню юридичної, психологічної, інформаційної допомоги. В кожному номері газети «Сила духу» публікувався матеріал по даній тематиці. Кожного дня вівся прийом он-лайн заявок, кожного останнього вівторка місяця проводилась зустріч людей з інвалідністю, які мають проблеми із юристами Другого полтавського місцевого центру з надання безоплатної правової допомоги.</w:t>
      </w:r>
    </w:p>
    <w:p w:rsidR="00824058" w:rsidRPr="00000980" w:rsidRDefault="00824058" w:rsidP="00000980">
      <w:pPr>
        <w:ind w:firstLine="720"/>
        <w:jc w:val="both"/>
        <w:rPr>
          <w:b/>
          <w:sz w:val="28"/>
          <w:szCs w:val="28"/>
          <w:lang w:val="uk-UA"/>
        </w:rPr>
      </w:pPr>
      <w:r>
        <w:rPr>
          <w:b/>
          <w:sz w:val="28"/>
          <w:szCs w:val="28"/>
          <w:lang w:val="uk-UA"/>
        </w:rPr>
        <w:t>Проект</w:t>
      </w:r>
      <w:r w:rsidRPr="00000980">
        <w:rPr>
          <w:b/>
          <w:sz w:val="28"/>
          <w:szCs w:val="28"/>
          <w:lang w:val="uk-UA"/>
        </w:rPr>
        <w:t xml:space="preserve"> </w:t>
      </w:r>
      <w:r>
        <w:rPr>
          <w:b/>
          <w:sz w:val="28"/>
          <w:szCs w:val="28"/>
          <w:lang w:val="uk-UA"/>
        </w:rPr>
        <w:t>«</w:t>
      </w:r>
      <w:r w:rsidRPr="00000980">
        <w:rPr>
          <w:b/>
          <w:sz w:val="28"/>
          <w:szCs w:val="28"/>
        </w:rPr>
        <w:t>Популяризація туристичного путівника «Іван Мазепа та українське козацтво в Полтавській битві</w:t>
      </w:r>
      <w:r>
        <w:rPr>
          <w:b/>
          <w:sz w:val="28"/>
          <w:szCs w:val="28"/>
          <w:lang w:val="uk-UA"/>
        </w:rPr>
        <w:t>»</w:t>
      </w:r>
      <w:r w:rsidRPr="00000980">
        <w:rPr>
          <w:b/>
          <w:sz w:val="28"/>
          <w:szCs w:val="28"/>
          <w:lang w:val="uk-UA"/>
        </w:rPr>
        <w:t xml:space="preserve">  </w:t>
      </w:r>
      <w:r w:rsidRPr="00000980">
        <w:rPr>
          <w:b/>
          <w:sz w:val="28"/>
          <w:szCs w:val="28"/>
        </w:rPr>
        <w:t>(ГО «ВЕЛОПОЛТАВА»)</w:t>
      </w:r>
    </w:p>
    <w:p w:rsidR="00824058" w:rsidRPr="00000980" w:rsidRDefault="00824058" w:rsidP="00000980">
      <w:pPr>
        <w:ind w:firstLine="720"/>
        <w:jc w:val="both"/>
        <w:rPr>
          <w:sz w:val="28"/>
          <w:szCs w:val="28"/>
          <w:lang w:val="uk-UA"/>
        </w:rPr>
      </w:pPr>
      <w:r w:rsidRPr="00000980">
        <w:rPr>
          <w:sz w:val="28"/>
          <w:szCs w:val="28"/>
          <w:lang w:val="uk-UA"/>
        </w:rPr>
        <w:t>Створено туристичний маршрут; розроблено та надруковано туристичну карту з путівником; проведено три пізнавальні тематичні велотури по розробленому</w:t>
      </w:r>
      <w:r>
        <w:rPr>
          <w:sz w:val="28"/>
          <w:szCs w:val="28"/>
          <w:lang w:val="uk-UA"/>
        </w:rPr>
        <w:t xml:space="preserve"> </w:t>
      </w:r>
      <w:r w:rsidRPr="00000980">
        <w:rPr>
          <w:sz w:val="28"/>
          <w:szCs w:val="28"/>
          <w:lang w:val="uk-UA"/>
        </w:rPr>
        <w:t>маршруту; створено та розповсюджено в мережі Інтернет електронну версію карти</w:t>
      </w:r>
      <w:r>
        <w:rPr>
          <w:sz w:val="28"/>
          <w:szCs w:val="28"/>
          <w:lang w:val="uk-UA"/>
        </w:rPr>
        <w:t xml:space="preserve"> </w:t>
      </w:r>
      <w:r w:rsidRPr="00000980">
        <w:rPr>
          <w:sz w:val="28"/>
          <w:szCs w:val="28"/>
          <w:lang w:val="uk-UA"/>
        </w:rPr>
        <w:t>з нанесенням маршруту та точок історичних місць а також опис до неї; створено та доповнено новими даними з фотографіями статті у Вікіпедії про історичні події та місця; проведено презентацію туристичного путівника; розповсюджено друковану продукцію по об'єктах туристичного спрямування, бібліотеках, музейних закладах, тощо. У ПолтНТУ під час ІІ Всеукраїнської науково-практичної інтернет-конференції "Фізична реабілітація та здоров'язберігаючі технології: реалії й перспективи" було анонсовано вихід путівника та</w:t>
      </w:r>
      <w:r>
        <w:rPr>
          <w:sz w:val="28"/>
          <w:szCs w:val="28"/>
          <w:lang w:val="uk-UA"/>
        </w:rPr>
        <w:t xml:space="preserve"> </w:t>
      </w:r>
      <w:r w:rsidRPr="00000980">
        <w:rPr>
          <w:sz w:val="28"/>
          <w:szCs w:val="28"/>
          <w:lang w:val="uk-UA"/>
        </w:rPr>
        <w:t xml:space="preserve">презентовано фільм про велопокатеньку «Козацька Покрова». </w:t>
      </w:r>
    </w:p>
    <w:p w:rsidR="00824058" w:rsidRPr="00000980" w:rsidRDefault="00824058" w:rsidP="00000980">
      <w:pPr>
        <w:ind w:firstLine="720"/>
        <w:jc w:val="both"/>
        <w:rPr>
          <w:b/>
          <w:sz w:val="28"/>
          <w:szCs w:val="28"/>
          <w:lang w:val="uk-UA"/>
        </w:rPr>
      </w:pPr>
      <w:r>
        <w:rPr>
          <w:b/>
          <w:sz w:val="28"/>
          <w:szCs w:val="28"/>
          <w:lang w:val="uk-UA"/>
        </w:rPr>
        <w:t>Проект</w:t>
      </w:r>
      <w:r w:rsidRPr="00000980">
        <w:rPr>
          <w:b/>
          <w:sz w:val="28"/>
          <w:szCs w:val="28"/>
          <w:lang w:val="uk-UA"/>
        </w:rPr>
        <w:t xml:space="preserve"> </w:t>
      </w:r>
      <w:r>
        <w:rPr>
          <w:b/>
          <w:sz w:val="28"/>
          <w:szCs w:val="28"/>
          <w:lang w:val="uk-UA"/>
        </w:rPr>
        <w:t>«</w:t>
      </w:r>
      <w:r w:rsidRPr="00000980">
        <w:rPr>
          <w:b/>
          <w:sz w:val="28"/>
          <w:szCs w:val="28"/>
        </w:rPr>
        <w:t>Енергонезалежна громада</w:t>
      </w:r>
      <w:r>
        <w:rPr>
          <w:b/>
          <w:sz w:val="28"/>
          <w:szCs w:val="28"/>
          <w:lang w:val="uk-UA"/>
        </w:rPr>
        <w:t>»</w:t>
      </w:r>
      <w:r w:rsidRPr="00000980">
        <w:rPr>
          <w:b/>
          <w:sz w:val="28"/>
          <w:szCs w:val="28"/>
        </w:rPr>
        <w:t xml:space="preserve"> (ГО «Товариство охорони природи м. Кременчука»)</w:t>
      </w:r>
    </w:p>
    <w:p w:rsidR="00824058" w:rsidRPr="00000980" w:rsidRDefault="00824058" w:rsidP="00000980">
      <w:pPr>
        <w:ind w:firstLine="720"/>
        <w:jc w:val="both"/>
        <w:rPr>
          <w:sz w:val="28"/>
          <w:szCs w:val="28"/>
          <w:lang w:val="uk-UA"/>
        </w:rPr>
      </w:pPr>
      <w:r w:rsidRPr="00000980">
        <w:rPr>
          <w:sz w:val="28"/>
          <w:szCs w:val="28"/>
          <w:lang w:val="uk-UA"/>
        </w:rPr>
        <w:t>Проведено 2 кущові семінари з представниками органів місцевого самоврядування, державних органів влади, по впровадженню муніципального енергоменеджменту  (м. Кременчук, смт  Нові Санжари, 210 учасників). Проведено навчальні семінари «Школа управдома» (Полтава, Кременчук, Кобеляки, Лубни, до 500 осіб). Проведено інформаційні акції з популяризації альтернативних джерел енергії, розповсюдження інформаційних матеріалів (с. Березова Рудка Пирятинський р-н; смт Нові Санжари; м. Полтава). 210 представників бюджетних установ пройшли навчання на семінарах з енергоефективності будівель (Планувалися представники органів місцевого самоврядування та державної влади,  депутати – не  менше 100);</w:t>
      </w:r>
      <w:r>
        <w:rPr>
          <w:sz w:val="28"/>
          <w:szCs w:val="28"/>
          <w:lang w:val="uk-UA"/>
        </w:rPr>
        <w:t xml:space="preserve"> </w:t>
      </w:r>
      <w:r w:rsidRPr="00000980">
        <w:rPr>
          <w:sz w:val="28"/>
          <w:szCs w:val="28"/>
          <w:lang w:val="uk-UA"/>
        </w:rPr>
        <w:t>25 голів ОСББ та представники ініц</w:t>
      </w:r>
      <w:r>
        <w:rPr>
          <w:sz w:val="28"/>
          <w:szCs w:val="28"/>
          <w:lang w:val="uk-UA"/>
        </w:rPr>
        <w:t>і</w:t>
      </w:r>
      <w:r w:rsidRPr="00000980">
        <w:rPr>
          <w:sz w:val="28"/>
          <w:szCs w:val="28"/>
          <w:lang w:val="uk-UA"/>
        </w:rPr>
        <w:t>ативних груп пройшли навчання, 175 проінформовані про управління будинком та проведення енергоефективних заходів (Планувалося  Голови ОСББ (управителі) – не менше 200);</w:t>
      </w:r>
      <w:r>
        <w:rPr>
          <w:sz w:val="28"/>
          <w:szCs w:val="28"/>
          <w:lang w:val="uk-UA"/>
        </w:rPr>
        <w:t xml:space="preserve"> </w:t>
      </w:r>
      <w:r w:rsidRPr="00000980">
        <w:rPr>
          <w:sz w:val="28"/>
          <w:szCs w:val="28"/>
          <w:lang w:val="uk-UA"/>
        </w:rPr>
        <w:t>10 000 жителів області проінформовані про створення та управління багатоквартирним будинком та проведенню енергоефективних заходів, впровадженню альтернативних джерел енергії.</w:t>
      </w:r>
    </w:p>
    <w:p w:rsidR="00824058" w:rsidRPr="00000980" w:rsidRDefault="00824058" w:rsidP="00000980">
      <w:pPr>
        <w:ind w:firstLine="720"/>
        <w:jc w:val="both"/>
        <w:rPr>
          <w:b/>
          <w:sz w:val="28"/>
          <w:szCs w:val="28"/>
          <w:lang w:val="uk-UA"/>
        </w:rPr>
      </w:pPr>
      <w:r>
        <w:rPr>
          <w:b/>
          <w:sz w:val="28"/>
          <w:szCs w:val="28"/>
          <w:lang w:val="uk-UA"/>
        </w:rPr>
        <w:t>Проект</w:t>
      </w:r>
      <w:r w:rsidRPr="00000980">
        <w:rPr>
          <w:b/>
          <w:sz w:val="28"/>
          <w:szCs w:val="28"/>
        </w:rPr>
        <w:t xml:space="preserve"> </w:t>
      </w:r>
      <w:r>
        <w:rPr>
          <w:b/>
          <w:sz w:val="28"/>
          <w:szCs w:val="28"/>
          <w:lang w:val="uk-UA"/>
        </w:rPr>
        <w:t>«</w:t>
      </w:r>
      <w:r w:rsidRPr="00000980">
        <w:rPr>
          <w:b/>
          <w:sz w:val="28"/>
          <w:szCs w:val="28"/>
        </w:rPr>
        <w:t>Електронні сервіси – це прост</w:t>
      </w:r>
      <w:r w:rsidRPr="00000980">
        <w:rPr>
          <w:b/>
          <w:sz w:val="28"/>
          <w:szCs w:val="28"/>
          <w:lang w:val="uk-UA"/>
        </w:rPr>
        <w:t>о</w:t>
      </w:r>
      <w:r>
        <w:rPr>
          <w:b/>
          <w:sz w:val="28"/>
          <w:szCs w:val="28"/>
          <w:lang w:val="uk-UA"/>
        </w:rPr>
        <w:t>»</w:t>
      </w:r>
      <w:r w:rsidRPr="00000980">
        <w:rPr>
          <w:b/>
          <w:sz w:val="28"/>
          <w:szCs w:val="28"/>
          <w:lang w:val="uk-UA"/>
        </w:rPr>
        <w:t xml:space="preserve"> </w:t>
      </w:r>
      <w:r w:rsidRPr="00000980">
        <w:rPr>
          <w:b/>
          <w:sz w:val="28"/>
          <w:szCs w:val="28"/>
        </w:rPr>
        <w:t>(ГО «ВЕЛОПОЛТАВА»)</w:t>
      </w:r>
    </w:p>
    <w:p w:rsidR="00824058" w:rsidRPr="00000980" w:rsidRDefault="00824058" w:rsidP="00000980">
      <w:pPr>
        <w:ind w:firstLine="720"/>
        <w:jc w:val="both"/>
        <w:rPr>
          <w:sz w:val="28"/>
          <w:szCs w:val="28"/>
          <w:lang w:val="uk-UA"/>
        </w:rPr>
      </w:pPr>
      <w:r w:rsidRPr="00000980">
        <w:rPr>
          <w:sz w:val="28"/>
          <w:szCs w:val="28"/>
          <w:lang w:val="uk-UA"/>
        </w:rPr>
        <w:t xml:space="preserve">Під час проведення зустрічей з представниками активу бібліотек, навчальних закладів та на території місцевих органів виконавчої влади було презентовано 22 відкриті державні реєстри та електронні сервіси. 19.01.2016 р.  проведено телепередачу на ТРК “Лтава” за ініціативи ГС "Полтавська громада", БО "Полтавська громада разом" та ГО "Інститут фінансів та права». Видано та розповсюджено брошуру </w:t>
      </w:r>
      <w:r w:rsidRPr="00000980">
        <w:rPr>
          <w:sz w:val="28"/>
          <w:szCs w:val="28"/>
        </w:rPr>
        <w:t>“Електронні сервіси – це просто”</w:t>
      </w:r>
      <w:r w:rsidRPr="00000980">
        <w:rPr>
          <w:sz w:val="28"/>
          <w:szCs w:val="28"/>
          <w:lang w:val="uk-UA"/>
        </w:rPr>
        <w:t>.</w:t>
      </w:r>
      <w:r>
        <w:rPr>
          <w:sz w:val="28"/>
          <w:szCs w:val="28"/>
          <w:lang w:val="uk-UA"/>
        </w:rPr>
        <w:t xml:space="preserve"> </w:t>
      </w:r>
      <w:r w:rsidRPr="00000980">
        <w:rPr>
          <w:sz w:val="28"/>
          <w:szCs w:val="28"/>
          <w:lang w:val="uk-UA"/>
        </w:rPr>
        <w:t>У проект</w:t>
      </w:r>
      <w:r>
        <w:rPr>
          <w:sz w:val="28"/>
          <w:szCs w:val="28"/>
          <w:lang w:val="uk-UA"/>
        </w:rPr>
        <w:t>і</w:t>
      </w:r>
      <w:r w:rsidRPr="00000980">
        <w:rPr>
          <w:sz w:val="28"/>
          <w:szCs w:val="28"/>
          <w:lang w:val="uk-UA"/>
        </w:rPr>
        <w:t xml:space="preserve">  були задіяні 32 громадські організації, що співпрацюють у Полтавській області. Інформацію розміщено в друкованих 24-х ЗМІ області, в Інтернет-виданнях, на власній сторінці в Facebook. Відео-сюжет по обласному телебаченню. Надруковано 75 плакатів, 625 інформаційних буклетів. Близько 1125 часників семінарів отримали відповідні знання та зможуть поширювати інформацію про державні послуги та сервіси, які надаються в електронній формі на державних і недержавних веб-порталах серед своїх друзів і знайомих. </w:t>
      </w:r>
    </w:p>
    <w:p w:rsidR="00824058" w:rsidRPr="00000980" w:rsidRDefault="00824058" w:rsidP="00000980">
      <w:pPr>
        <w:ind w:firstLine="720"/>
        <w:jc w:val="both"/>
        <w:rPr>
          <w:b/>
          <w:sz w:val="28"/>
          <w:szCs w:val="28"/>
          <w:lang w:val="uk-UA"/>
        </w:rPr>
      </w:pPr>
      <w:r w:rsidRPr="00000980">
        <w:rPr>
          <w:b/>
          <w:sz w:val="28"/>
          <w:szCs w:val="28"/>
          <w:lang w:val="uk-UA"/>
        </w:rPr>
        <w:t xml:space="preserve"> </w:t>
      </w:r>
      <w:r>
        <w:rPr>
          <w:b/>
          <w:sz w:val="28"/>
          <w:szCs w:val="28"/>
          <w:lang w:val="uk-UA"/>
        </w:rPr>
        <w:t>Проект «</w:t>
      </w:r>
      <w:r w:rsidRPr="00000980">
        <w:rPr>
          <w:b/>
          <w:sz w:val="28"/>
          <w:szCs w:val="28"/>
        </w:rPr>
        <w:t>Майбутнє з ОСББ, для УПРАВИТЕЛЯ</w:t>
      </w:r>
      <w:r>
        <w:rPr>
          <w:b/>
          <w:sz w:val="28"/>
          <w:szCs w:val="28"/>
          <w:lang w:val="uk-UA"/>
        </w:rPr>
        <w:t>»</w:t>
      </w:r>
      <w:r w:rsidRPr="00000980">
        <w:rPr>
          <w:b/>
          <w:sz w:val="28"/>
          <w:szCs w:val="28"/>
          <w:lang w:val="uk-UA"/>
        </w:rPr>
        <w:t xml:space="preserve"> </w:t>
      </w:r>
      <w:r w:rsidRPr="00000980">
        <w:rPr>
          <w:b/>
          <w:sz w:val="28"/>
          <w:szCs w:val="28"/>
        </w:rPr>
        <w:t>(Асоціація «Підтримки об’єднань співвласників будинків»)</w:t>
      </w:r>
    </w:p>
    <w:p w:rsidR="00824058" w:rsidRPr="00000980" w:rsidRDefault="00824058" w:rsidP="00000980">
      <w:pPr>
        <w:ind w:firstLine="720"/>
        <w:jc w:val="both"/>
        <w:rPr>
          <w:sz w:val="28"/>
          <w:szCs w:val="28"/>
          <w:lang w:val="uk-UA"/>
        </w:rPr>
      </w:pPr>
      <w:r w:rsidRPr="00000980">
        <w:rPr>
          <w:sz w:val="28"/>
          <w:szCs w:val="28"/>
          <w:lang w:val="uk-UA"/>
        </w:rPr>
        <w:t xml:space="preserve">Проведено 6 навчальних тренінгів  для бажаючих управляти в ОСББ (охоплення регіонів: Кобеляки, Гадяч, Лубни, Гребінка, Пирятин, Горішні Плавні, Кременчук, Миргород, Глобино, Машівка, Нові Санжари (178 осіб) на теми: «Правові  основи  управління житловим будинком», «Організація  і  форми  управління житловим будинком», «Управління фінансовою діяльністю», «Організація  професійного управління», «Діловодство», «Енергоефективні заходи для ОСББ».  </w:t>
      </w:r>
    </w:p>
    <w:p w:rsidR="00824058" w:rsidRPr="00000980" w:rsidRDefault="00824058" w:rsidP="00000980">
      <w:pPr>
        <w:ind w:firstLine="720"/>
        <w:jc w:val="both"/>
        <w:rPr>
          <w:b/>
          <w:sz w:val="28"/>
          <w:szCs w:val="28"/>
          <w:lang w:val="uk-UA"/>
        </w:rPr>
      </w:pPr>
      <w:r>
        <w:rPr>
          <w:b/>
          <w:sz w:val="28"/>
          <w:szCs w:val="28"/>
          <w:lang w:val="uk-UA"/>
        </w:rPr>
        <w:t>Проект</w:t>
      </w:r>
      <w:r w:rsidRPr="00000980">
        <w:rPr>
          <w:b/>
          <w:sz w:val="28"/>
          <w:szCs w:val="28"/>
        </w:rPr>
        <w:t xml:space="preserve"> </w:t>
      </w:r>
      <w:r>
        <w:rPr>
          <w:b/>
          <w:sz w:val="28"/>
          <w:szCs w:val="28"/>
          <w:lang w:val="uk-UA"/>
        </w:rPr>
        <w:t>«</w:t>
      </w:r>
      <w:r w:rsidRPr="00000980">
        <w:rPr>
          <w:b/>
          <w:sz w:val="28"/>
          <w:szCs w:val="28"/>
        </w:rPr>
        <w:t>Практичний семінар-тренінг для редакторів районних газет Полтавської області «Основи роботи якісного регіонального медіа» (ГО «Інститут аналітики та адвокації»)</w:t>
      </w:r>
    </w:p>
    <w:p w:rsidR="00824058" w:rsidRPr="00000980" w:rsidRDefault="00824058" w:rsidP="00000980">
      <w:pPr>
        <w:ind w:firstLine="720"/>
        <w:jc w:val="both"/>
        <w:rPr>
          <w:b/>
          <w:sz w:val="28"/>
          <w:szCs w:val="28"/>
          <w:lang w:val="uk-UA"/>
        </w:rPr>
      </w:pPr>
      <w:r w:rsidRPr="00000980">
        <w:rPr>
          <w:sz w:val="28"/>
          <w:szCs w:val="28"/>
          <w:lang w:val="uk-UA"/>
        </w:rPr>
        <w:t xml:space="preserve">Захід проведено 17.11.2016 у конференц-залі у м.Полтаві (вул.Гоголя, 33). Результат; підвищення поінформованості редакторів державних/ комунальних друкованих ЗМІ Полтавської області, результативний. Показник: 18 підготовлених керівників державних/комунальних друкованих ЗМІ Полтавської області, а отже, перспективне покращення контенту газет-учасниць проекту. </w:t>
      </w:r>
    </w:p>
    <w:p w:rsidR="00824058" w:rsidRPr="00000980" w:rsidRDefault="00824058" w:rsidP="00250DA0">
      <w:pPr>
        <w:ind w:firstLine="708"/>
        <w:jc w:val="both"/>
        <w:rPr>
          <w:b/>
          <w:sz w:val="28"/>
          <w:szCs w:val="28"/>
          <w:lang w:val="uk-UA"/>
        </w:rPr>
      </w:pPr>
      <w:r>
        <w:rPr>
          <w:b/>
          <w:sz w:val="28"/>
          <w:szCs w:val="28"/>
          <w:lang w:val="uk-UA"/>
        </w:rPr>
        <w:t>Проект</w:t>
      </w:r>
      <w:r w:rsidRPr="00000980">
        <w:rPr>
          <w:b/>
          <w:sz w:val="28"/>
          <w:szCs w:val="28"/>
          <w:lang w:val="uk-UA"/>
        </w:rPr>
        <w:t xml:space="preserve"> </w:t>
      </w:r>
      <w:r>
        <w:rPr>
          <w:b/>
          <w:sz w:val="28"/>
          <w:szCs w:val="28"/>
          <w:lang w:val="uk-UA"/>
        </w:rPr>
        <w:t>«</w:t>
      </w:r>
      <w:r w:rsidRPr="00000980">
        <w:rPr>
          <w:b/>
          <w:sz w:val="28"/>
          <w:szCs w:val="28"/>
        </w:rPr>
        <w:t>Школа волонтерів</w:t>
      </w:r>
      <w:r>
        <w:rPr>
          <w:b/>
          <w:sz w:val="28"/>
          <w:szCs w:val="28"/>
          <w:lang w:val="uk-UA"/>
        </w:rPr>
        <w:t>»</w:t>
      </w:r>
      <w:r w:rsidRPr="00000980">
        <w:rPr>
          <w:b/>
          <w:sz w:val="28"/>
          <w:szCs w:val="28"/>
        </w:rPr>
        <w:t xml:space="preserve"> (ГО «Інститут фінансів та права»)</w:t>
      </w:r>
    </w:p>
    <w:p w:rsidR="00824058" w:rsidRPr="00000980" w:rsidRDefault="00824058" w:rsidP="00000980">
      <w:pPr>
        <w:ind w:firstLine="720"/>
        <w:jc w:val="both"/>
        <w:rPr>
          <w:sz w:val="28"/>
          <w:szCs w:val="28"/>
          <w:lang w:val="uk-UA"/>
        </w:rPr>
      </w:pPr>
      <w:r w:rsidRPr="00000980">
        <w:rPr>
          <w:sz w:val="28"/>
          <w:szCs w:val="28"/>
          <w:lang w:val="uk-UA"/>
        </w:rPr>
        <w:t xml:space="preserve">Під час проведення зустрічей з представниками активу бібліотек, навчальних закладів та на території місцевих органів виконавчої влади було презентовано </w:t>
      </w:r>
      <w:r>
        <w:rPr>
          <w:sz w:val="28"/>
          <w:szCs w:val="28"/>
          <w:lang w:val="uk-UA"/>
        </w:rPr>
        <w:t xml:space="preserve">інформації про волонтерську діяльність. </w:t>
      </w:r>
      <w:r w:rsidRPr="00000980">
        <w:rPr>
          <w:sz w:val="28"/>
          <w:szCs w:val="28"/>
          <w:lang w:val="uk-UA"/>
        </w:rPr>
        <w:t xml:space="preserve">Виготовлено брошуру – </w:t>
      </w:r>
      <w:r>
        <w:rPr>
          <w:sz w:val="28"/>
          <w:szCs w:val="28"/>
          <w:lang w:val="uk-UA"/>
        </w:rPr>
        <w:t>«</w:t>
      </w:r>
      <w:r w:rsidRPr="00000980">
        <w:rPr>
          <w:sz w:val="28"/>
          <w:szCs w:val="28"/>
          <w:lang w:val="uk-UA"/>
        </w:rPr>
        <w:t>Довідник волонтера</w:t>
      </w:r>
      <w:r>
        <w:rPr>
          <w:sz w:val="28"/>
          <w:szCs w:val="28"/>
          <w:lang w:val="uk-UA"/>
        </w:rPr>
        <w:t>»</w:t>
      </w:r>
      <w:r w:rsidRPr="00000980">
        <w:rPr>
          <w:sz w:val="28"/>
          <w:szCs w:val="28"/>
          <w:lang w:val="uk-UA"/>
        </w:rPr>
        <w:t xml:space="preserve"> </w:t>
      </w:r>
      <w:r w:rsidRPr="00000980">
        <w:rPr>
          <w:sz w:val="28"/>
          <w:szCs w:val="28"/>
        </w:rPr>
        <w:t>з методичними матеріалами та прикладами добрих справ</w:t>
      </w:r>
      <w:r w:rsidRPr="00000980">
        <w:rPr>
          <w:sz w:val="28"/>
          <w:szCs w:val="28"/>
          <w:lang w:val="uk-UA"/>
        </w:rPr>
        <w:t xml:space="preserve"> (наклад 500 прим.), яку розповсюджено під час проведення заходу до Міжнародного дня волонтерів, що проводився 05 грудня 2017 року. </w:t>
      </w:r>
      <w:r>
        <w:rPr>
          <w:sz w:val="28"/>
          <w:szCs w:val="28"/>
          <w:lang w:val="uk-UA"/>
        </w:rPr>
        <w:t xml:space="preserve">Частину накладу </w:t>
      </w:r>
      <w:r w:rsidRPr="00000980">
        <w:rPr>
          <w:sz w:val="28"/>
          <w:szCs w:val="28"/>
        </w:rPr>
        <w:t xml:space="preserve"> передано до бібліотек області.</w:t>
      </w:r>
      <w:r w:rsidRPr="00000980">
        <w:rPr>
          <w:sz w:val="28"/>
          <w:szCs w:val="28"/>
          <w:lang w:val="uk-UA"/>
        </w:rPr>
        <w:t xml:space="preserve"> </w:t>
      </w:r>
      <w:r w:rsidRPr="00000980">
        <w:rPr>
          <w:sz w:val="28"/>
          <w:szCs w:val="28"/>
        </w:rPr>
        <w:t>Виготовлено 1000 нагрудних значків, 100 фотографій, 2 банери.</w:t>
      </w:r>
      <w:r>
        <w:rPr>
          <w:sz w:val="28"/>
          <w:szCs w:val="28"/>
          <w:lang w:val="uk-UA"/>
        </w:rPr>
        <w:t xml:space="preserve"> </w:t>
      </w:r>
      <w:r w:rsidRPr="00000980">
        <w:rPr>
          <w:sz w:val="28"/>
          <w:szCs w:val="28"/>
        </w:rPr>
        <w:t>Інформацію розміщено: відеозапис телемосту на ТРК “Лтава”, на сторінці проекту “Школа волонтера” у Facebook, на веб-сторінці ГО “Інститут фінансів та права”, на сторінці ГС “Полтавська громада” у Facebook, на веб-сторінках Гадяцької, Чутівської та інших державних адміністрацій, бібліотек та навчальних закладів</w:t>
      </w:r>
      <w:r w:rsidRPr="00000980">
        <w:rPr>
          <w:sz w:val="28"/>
          <w:szCs w:val="28"/>
          <w:lang w:val="uk-UA"/>
        </w:rPr>
        <w:t>;</w:t>
      </w:r>
      <w:r w:rsidRPr="00000980">
        <w:rPr>
          <w:sz w:val="28"/>
          <w:szCs w:val="28"/>
        </w:rPr>
        <w:t xml:space="preserve"> в інших електронних ресурсах.</w:t>
      </w:r>
    </w:p>
    <w:p w:rsidR="00824058" w:rsidRDefault="00824058" w:rsidP="00000980">
      <w:pPr>
        <w:ind w:firstLine="720"/>
        <w:jc w:val="both"/>
        <w:rPr>
          <w:sz w:val="28"/>
          <w:szCs w:val="28"/>
          <w:lang w:val="uk-UA"/>
        </w:rPr>
      </w:pPr>
      <w:r w:rsidRPr="00000980">
        <w:rPr>
          <w:sz w:val="28"/>
          <w:szCs w:val="28"/>
          <w:lang w:val="uk-UA"/>
        </w:rPr>
        <w:t>У проект</w:t>
      </w:r>
      <w:r>
        <w:rPr>
          <w:sz w:val="28"/>
          <w:szCs w:val="28"/>
          <w:lang w:val="uk-UA"/>
        </w:rPr>
        <w:t>і</w:t>
      </w:r>
      <w:r w:rsidRPr="00000980">
        <w:rPr>
          <w:sz w:val="28"/>
          <w:szCs w:val="28"/>
          <w:lang w:val="uk-UA"/>
        </w:rPr>
        <w:t xml:space="preserve"> були задіяні 32 громадські організації, що співпрацюють у Полтавській області. Інформацію розміщено в друкованих 24-х ЗМІ області, в Інтернет-виданнях, на власній сторінці в Facebook. Відео-сюжет по обласному телебаченню. </w:t>
      </w:r>
      <w:r w:rsidRPr="00000980">
        <w:rPr>
          <w:sz w:val="28"/>
          <w:szCs w:val="28"/>
        </w:rPr>
        <w:t>Особливо великою була аудиторія під час проведення заходів у Гадяцькому, Карлівському, Машівському, Новосанжарському та Решетилівському районах, також як у професійно-технічних училищах міста Полтави №№ 4 та 21.</w:t>
      </w:r>
      <w:r>
        <w:rPr>
          <w:sz w:val="28"/>
          <w:szCs w:val="28"/>
          <w:lang w:val="uk-UA"/>
        </w:rPr>
        <w:t xml:space="preserve"> </w:t>
      </w:r>
    </w:p>
    <w:p w:rsidR="00824058" w:rsidRPr="00000980" w:rsidRDefault="00824058" w:rsidP="00000980">
      <w:pPr>
        <w:ind w:firstLine="720"/>
        <w:jc w:val="both"/>
        <w:rPr>
          <w:sz w:val="28"/>
          <w:szCs w:val="28"/>
          <w:lang w:val="uk-UA"/>
        </w:rPr>
      </w:pPr>
      <w:r w:rsidRPr="00000980">
        <w:rPr>
          <w:sz w:val="28"/>
          <w:szCs w:val="28"/>
          <w:lang w:val="uk-UA"/>
        </w:rPr>
        <w:t xml:space="preserve">Результат: </w:t>
      </w:r>
      <w:r w:rsidRPr="00000980">
        <w:rPr>
          <w:sz w:val="28"/>
          <w:szCs w:val="28"/>
        </w:rPr>
        <w:t xml:space="preserve">2500 </w:t>
      </w:r>
      <w:r w:rsidRPr="00000980">
        <w:rPr>
          <w:sz w:val="28"/>
          <w:szCs w:val="28"/>
          <w:lang w:val="uk-UA"/>
        </w:rPr>
        <w:t>осіб</w:t>
      </w:r>
      <w:r w:rsidRPr="00000980">
        <w:rPr>
          <w:sz w:val="28"/>
          <w:szCs w:val="28"/>
        </w:rPr>
        <w:t xml:space="preserve"> отримали інформацію про громадські волонтерські рухи в районах області</w:t>
      </w:r>
      <w:r w:rsidRPr="00000980">
        <w:rPr>
          <w:sz w:val="28"/>
          <w:szCs w:val="28"/>
          <w:lang w:val="uk-UA"/>
        </w:rPr>
        <w:t>. Н</w:t>
      </w:r>
      <w:r w:rsidRPr="00000980">
        <w:rPr>
          <w:sz w:val="28"/>
          <w:szCs w:val="28"/>
        </w:rPr>
        <w:t>е менше 50 учасників організували на місцях волонтерські рухи, залучивши жителів своїх районів до добрих справ</w:t>
      </w:r>
      <w:r>
        <w:rPr>
          <w:sz w:val="28"/>
          <w:szCs w:val="28"/>
          <w:lang w:val="uk-UA"/>
        </w:rPr>
        <w:t xml:space="preserve"> волонтерів</w:t>
      </w:r>
      <w:r w:rsidRPr="00000980">
        <w:rPr>
          <w:sz w:val="28"/>
          <w:szCs w:val="28"/>
        </w:rPr>
        <w:t>.</w:t>
      </w:r>
    </w:p>
    <w:p w:rsidR="00824058" w:rsidRPr="00000980" w:rsidRDefault="00824058" w:rsidP="00000980">
      <w:pPr>
        <w:ind w:firstLine="720"/>
        <w:jc w:val="both"/>
        <w:rPr>
          <w:b/>
          <w:sz w:val="28"/>
          <w:szCs w:val="28"/>
          <w:lang w:val="uk-UA"/>
        </w:rPr>
      </w:pPr>
      <w:r w:rsidRPr="00000980">
        <w:rPr>
          <w:b/>
          <w:sz w:val="28"/>
          <w:szCs w:val="28"/>
          <w:lang w:val="uk-UA"/>
        </w:rPr>
        <w:t xml:space="preserve">9. </w:t>
      </w:r>
      <w:r w:rsidRPr="00000980">
        <w:rPr>
          <w:b/>
          <w:sz w:val="28"/>
          <w:szCs w:val="28"/>
        </w:rPr>
        <w:t>Хто ці люди  (ГО «Інститут аналітики та адвокації»)</w:t>
      </w:r>
    </w:p>
    <w:p w:rsidR="00824058" w:rsidRPr="00000980" w:rsidRDefault="00824058" w:rsidP="00000980">
      <w:pPr>
        <w:ind w:firstLine="720"/>
        <w:jc w:val="both"/>
        <w:rPr>
          <w:sz w:val="28"/>
          <w:szCs w:val="28"/>
          <w:lang w:val="uk-UA"/>
        </w:rPr>
      </w:pPr>
      <w:r w:rsidRPr="00000980">
        <w:rPr>
          <w:sz w:val="28"/>
          <w:szCs w:val="28"/>
          <w:lang w:val="uk-UA"/>
        </w:rPr>
        <w:t>П</w:t>
      </w:r>
      <w:r w:rsidRPr="00000980">
        <w:rPr>
          <w:sz w:val="28"/>
          <w:szCs w:val="28"/>
        </w:rPr>
        <w:t xml:space="preserve">роведено </w:t>
      </w:r>
      <w:r w:rsidRPr="00000980">
        <w:rPr>
          <w:sz w:val="28"/>
          <w:szCs w:val="28"/>
          <w:lang w:val="uk-UA"/>
        </w:rPr>
        <w:t>3</w:t>
      </w:r>
      <w:r w:rsidRPr="00000980">
        <w:rPr>
          <w:sz w:val="28"/>
          <w:szCs w:val="28"/>
        </w:rPr>
        <w:t xml:space="preserve"> науково-популярних лекцій із заданої проблематики</w:t>
      </w:r>
      <w:r w:rsidRPr="00000980">
        <w:rPr>
          <w:sz w:val="28"/>
          <w:szCs w:val="28"/>
          <w:lang w:val="uk-UA"/>
        </w:rPr>
        <w:t xml:space="preserve"> (</w:t>
      </w:r>
      <w:r w:rsidRPr="00000980">
        <w:rPr>
          <w:sz w:val="28"/>
          <w:szCs w:val="28"/>
        </w:rPr>
        <w:t>124 глядач</w:t>
      </w:r>
      <w:r w:rsidRPr="00000980">
        <w:rPr>
          <w:sz w:val="28"/>
          <w:szCs w:val="28"/>
          <w:lang w:val="uk-UA"/>
        </w:rPr>
        <w:t xml:space="preserve">а) </w:t>
      </w:r>
      <w:r w:rsidRPr="00000980">
        <w:rPr>
          <w:sz w:val="28"/>
          <w:szCs w:val="28"/>
        </w:rPr>
        <w:t xml:space="preserve"> з метою донесення ідей проекту до якомога ширших верств населення. В рамках проекту проведено зйомку відеосюжетів з лідерами думок, істориками, науковцями, які розказали глядачам про тих чи інших історичних діячів. Також, розповсюджено інформаційні матеріали (статті) проекту в друкованих засобах масової інформації</w:t>
      </w:r>
      <w:r w:rsidRPr="00000980">
        <w:rPr>
          <w:sz w:val="28"/>
          <w:szCs w:val="28"/>
          <w:lang w:val="uk-UA"/>
        </w:rPr>
        <w:t xml:space="preserve"> (17 публікацій)</w:t>
      </w:r>
      <w:r w:rsidRPr="00000980">
        <w:rPr>
          <w:sz w:val="28"/>
          <w:szCs w:val="28"/>
        </w:rPr>
        <w:t>, для більш широкого залучення різних цільових груп аудиторії.</w:t>
      </w:r>
      <w:r w:rsidRPr="00000980">
        <w:rPr>
          <w:sz w:val="28"/>
          <w:szCs w:val="28"/>
          <w:lang w:val="uk-UA"/>
        </w:rPr>
        <w:t xml:space="preserve"> Охоплено 20 тис. осіб інтернет-аудиторії.</w:t>
      </w:r>
    </w:p>
    <w:p w:rsidR="00824058" w:rsidRPr="00000980" w:rsidRDefault="00824058" w:rsidP="007771EE">
      <w:pPr>
        <w:jc w:val="both"/>
        <w:rPr>
          <w:sz w:val="28"/>
          <w:szCs w:val="28"/>
          <w:lang w:val="uk-UA"/>
        </w:rPr>
      </w:pPr>
    </w:p>
    <w:p w:rsidR="00824058" w:rsidRPr="00000980" w:rsidRDefault="00824058" w:rsidP="00BA7041">
      <w:pPr>
        <w:jc w:val="both"/>
        <w:rPr>
          <w:b/>
          <w:sz w:val="28"/>
          <w:szCs w:val="28"/>
          <w:lang w:val="uk-UA"/>
        </w:rPr>
      </w:pPr>
      <w:r w:rsidRPr="00000980">
        <w:rPr>
          <w:b/>
          <w:sz w:val="28"/>
          <w:szCs w:val="28"/>
          <w:lang w:val="uk-UA"/>
        </w:rPr>
        <w:t xml:space="preserve">Висновок: </w:t>
      </w:r>
    </w:p>
    <w:p w:rsidR="00824058" w:rsidRPr="00000980" w:rsidRDefault="00824058" w:rsidP="00BA7041">
      <w:pPr>
        <w:jc w:val="both"/>
        <w:rPr>
          <w:sz w:val="28"/>
          <w:szCs w:val="28"/>
          <w:lang w:val="uk-UA"/>
        </w:rPr>
      </w:pPr>
      <w:r w:rsidRPr="00000980">
        <w:rPr>
          <w:sz w:val="28"/>
          <w:szCs w:val="28"/>
          <w:lang w:val="uk-UA"/>
        </w:rPr>
        <w:t>1. Проекти громадських організацій, на виконання (реалізацію) яких було надано фінансову підтримку у 2016 році, вважати такими, що виконані.</w:t>
      </w:r>
    </w:p>
    <w:p w:rsidR="00824058" w:rsidRPr="00000980" w:rsidRDefault="00824058" w:rsidP="00195BAB">
      <w:pPr>
        <w:jc w:val="both"/>
        <w:rPr>
          <w:sz w:val="28"/>
          <w:szCs w:val="28"/>
          <w:lang w:val="uk-UA"/>
        </w:rPr>
      </w:pPr>
      <w:r w:rsidRPr="00000980">
        <w:rPr>
          <w:sz w:val="28"/>
          <w:szCs w:val="28"/>
          <w:lang w:val="uk-UA"/>
        </w:rPr>
        <w:t>2. Зазначений Підсумковий висновок за результатами моніторингу реалізації  проектів громадських організацій за рахунок бюджетних коштів у 2016 році пропонується затвердити.</w:t>
      </w:r>
    </w:p>
    <w:p w:rsidR="00824058" w:rsidRPr="00000980" w:rsidRDefault="00824058" w:rsidP="00195BAB">
      <w:pPr>
        <w:jc w:val="both"/>
        <w:rPr>
          <w:sz w:val="28"/>
          <w:szCs w:val="28"/>
          <w:lang w:val="uk-UA"/>
        </w:rPr>
      </w:pPr>
      <w:r w:rsidRPr="00000980">
        <w:rPr>
          <w:sz w:val="28"/>
          <w:szCs w:val="28"/>
          <w:lang w:val="uk-UA"/>
        </w:rPr>
        <w:t>3.  Підсумковий висновок за результатами моніторингу реалізації  проектів громадських організацій за рахунок бюджетних коштів у 2016 році пропонується та звіти виконавців конкурсу оприлюднити у триденний термін від дня засідання конкурсної комісії на офіційному веб-сайті Департаменту інформаційної діяльності та комунікацій з громадськістю облдержадміністрації.</w:t>
      </w:r>
    </w:p>
    <w:p w:rsidR="00824058" w:rsidRPr="00000980" w:rsidRDefault="00824058" w:rsidP="00BA7041">
      <w:pPr>
        <w:jc w:val="both"/>
        <w:rPr>
          <w:sz w:val="28"/>
          <w:szCs w:val="28"/>
          <w:lang w:val="uk-UA"/>
        </w:rPr>
      </w:pPr>
    </w:p>
    <w:p w:rsidR="00824058" w:rsidRPr="00000980" w:rsidRDefault="00824058" w:rsidP="00BA7041">
      <w:pPr>
        <w:rPr>
          <w:sz w:val="28"/>
          <w:szCs w:val="28"/>
          <w:lang w:val="uk-UA"/>
        </w:rPr>
      </w:pPr>
      <w:r w:rsidRPr="00000980">
        <w:rPr>
          <w:sz w:val="28"/>
          <w:szCs w:val="28"/>
          <w:lang w:val="uk-UA"/>
        </w:rPr>
        <w:t xml:space="preserve">Секретар комісії, заступник  начальника управління </w:t>
      </w:r>
    </w:p>
    <w:p w:rsidR="00824058" w:rsidRPr="00000980" w:rsidRDefault="00824058" w:rsidP="00BA7041">
      <w:pPr>
        <w:rPr>
          <w:sz w:val="28"/>
          <w:szCs w:val="28"/>
          <w:lang w:val="uk-UA"/>
        </w:rPr>
      </w:pPr>
      <w:r w:rsidRPr="00000980">
        <w:rPr>
          <w:sz w:val="28"/>
          <w:szCs w:val="28"/>
          <w:lang w:val="uk-UA"/>
        </w:rPr>
        <w:t xml:space="preserve">– начальник відділу комунікацій з громадськими </w:t>
      </w:r>
    </w:p>
    <w:p w:rsidR="00824058" w:rsidRPr="00000980" w:rsidRDefault="00824058" w:rsidP="00BA7041">
      <w:pPr>
        <w:rPr>
          <w:sz w:val="28"/>
          <w:szCs w:val="28"/>
          <w:lang w:val="uk-UA"/>
        </w:rPr>
      </w:pPr>
      <w:r w:rsidRPr="00000980">
        <w:rPr>
          <w:sz w:val="28"/>
          <w:szCs w:val="28"/>
          <w:lang w:val="uk-UA"/>
        </w:rPr>
        <w:t xml:space="preserve">об’єднаннями управління з питань внутрішньої політики </w:t>
      </w:r>
    </w:p>
    <w:p w:rsidR="00824058" w:rsidRPr="00000980" w:rsidRDefault="00824058">
      <w:pPr>
        <w:rPr>
          <w:sz w:val="28"/>
          <w:szCs w:val="28"/>
          <w:lang w:val="uk-UA"/>
        </w:rPr>
      </w:pPr>
      <w:r w:rsidRPr="00000980">
        <w:rPr>
          <w:sz w:val="28"/>
          <w:szCs w:val="28"/>
          <w:lang w:val="uk-UA"/>
        </w:rPr>
        <w:t xml:space="preserve">Департаменту  інформаційної діяльності та комунікацій </w:t>
      </w:r>
    </w:p>
    <w:p w:rsidR="00824058" w:rsidRPr="00000980" w:rsidRDefault="00824058">
      <w:pPr>
        <w:rPr>
          <w:sz w:val="28"/>
          <w:szCs w:val="28"/>
          <w:lang w:val="uk-UA"/>
        </w:rPr>
      </w:pPr>
      <w:r w:rsidRPr="00000980">
        <w:rPr>
          <w:sz w:val="28"/>
          <w:szCs w:val="28"/>
          <w:lang w:val="uk-UA"/>
        </w:rPr>
        <w:t>з громадськістю облдержадміністрації                                                     О.А. Отич</w:t>
      </w:r>
    </w:p>
    <w:sectPr w:rsidR="00824058" w:rsidRPr="00000980" w:rsidSect="00F23534">
      <w:headerReference w:type="even" r:id="rId7"/>
      <w:headerReference w:type="default" r:id="rId8"/>
      <w:pgSz w:w="11906" w:h="16838"/>
      <w:pgMar w:top="1079"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058" w:rsidRDefault="00824058">
      <w:r>
        <w:separator/>
      </w:r>
    </w:p>
  </w:endnote>
  <w:endnote w:type="continuationSeparator" w:id="1">
    <w:p w:rsidR="00824058" w:rsidRDefault="00824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058" w:rsidRDefault="00824058">
      <w:r>
        <w:separator/>
      </w:r>
    </w:p>
  </w:footnote>
  <w:footnote w:type="continuationSeparator" w:id="1">
    <w:p w:rsidR="00824058" w:rsidRDefault="00824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58" w:rsidRDefault="00824058" w:rsidP="006351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058" w:rsidRDefault="008240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58" w:rsidRDefault="00824058" w:rsidP="006351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24058" w:rsidRDefault="00824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6968"/>
    <w:multiLevelType w:val="hybridMultilevel"/>
    <w:tmpl w:val="219EF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4DA"/>
    <w:rsid w:val="00000980"/>
    <w:rsid w:val="00001CDD"/>
    <w:rsid w:val="000114AB"/>
    <w:rsid w:val="00032D01"/>
    <w:rsid w:val="000413B1"/>
    <w:rsid w:val="000915C6"/>
    <w:rsid w:val="000B0800"/>
    <w:rsid w:val="000B4B43"/>
    <w:rsid w:val="000D1017"/>
    <w:rsid w:val="000D411F"/>
    <w:rsid w:val="000F11E8"/>
    <w:rsid w:val="00104291"/>
    <w:rsid w:val="0011236C"/>
    <w:rsid w:val="00137CF0"/>
    <w:rsid w:val="00143747"/>
    <w:rsid w:val="00174321"/>
    <w:rsid w:val="00195BAB"/>
    <w:rsid w:val="001A1493"/>
    <w:rsid w:val="001B0BF7"/>
    <w:rsid w:val="001C57E1"/>
    <w:rsid w:val="001E02BD"/>
    <w:rsid w:val="00222C2B"/>
    <w:rsid w:val="0023400C"/>
    <w:rsid w:val="002418A2"/>
    <w:rsid w:val="00250DA0"/>
    <w:rsid w:val="00276988"/>
    <w:rsid w:val="00287BA1"/>
    <w:rsid w:val="002F180D"/>
    <w:rsid w:val="0030705C"/>
    <w:rsid w:val="00326D53"/>
    <w:rsid w:val="00357453"/>
    <w:rsid w:val="00375059"/>
    <w:rsid w:val="00395510"/>
    <w:rsid w:val="003A4F2D"/>
    <w:rsid w:val="003B64DA"/>
    <w:rsid w:val="003E03E0"/>
    <w:rsid w:val="0040374F"/>
    <w:rsid w:val="004228B1"/>
    <w:rsid w:val="00471AF3"/>
    <w:rsid w:val="00483795"/>
    <w:rsid w:val="004B11E2"/>
    <w:rsid w:val="004C1312"/>
    <w:rsid w:val="004C42DC"/>
    <w:rsid w:val="004D1735"/>
    <w:rsid w:val="005144C4"/>
    <w:rsid w:val="005404F2"/>
    <w:rsid w:val="005416BB"/>
    <w:rsid w:val="00556645"/>
    <w:rsid w:val="00556DAD"/>
    <w:rsid w:val="00576320"/>
    <w:rsid w:val="005C5292"/>
    <w:rsid w:val="005E03F2"/>
    <w:rsid w:val="005E5EDB"/>
    <w:rsid w:val="00600EA8"/>
    <w:rsid w:val="006106CD"/>
    <w:rsid w:val="00632130"/>
    <w:rsid w:val="006351ED"/>
    <w:rsid w:val="006652CC"/>
    <w:rsid w:val="0067756C"/>
    <w:rsid w:val="0068047D"/>
    <w:rsid w:val="006B673A"/>
    <w:rsid w:val="006F7041"/>
    <w:rsid w:val="00706586"/>
    <w:rsid w:val="007115BA"/>
    <w:rsid w:val="00722B41"/>
    <w:rsid w:val="00732878"/>
    <w:rsid w:val="007771EE"/>
    <w:rsid w:val="00785721"/>
    <w:rsid w:val="007C7C48"/>
    <w:rsid w:val="007F556E"/>
    <w:rsid w:val="0081573A"/>
    <w:rsid w:val="00824058"/>
    <w:rsid w:val="00836AC9"/>
    <w:rsid w:val="00847099"/>
    <w:rsid w:val="00855D12"/>
    <w:rsid w:val="00860888"/>
    <w:rsid w:val="00861A3D"/>
    <w:rsid w:val="0087184C"/>
    <w:rsid w:val="00875AF0"/>
    <w:rsid w:val="008B5043"/>
    <w:rsid w:val="008F5715"/>
    <w:rsid w:val="0090323E"/>
    <w:rsid w:val="00937B8D"/>
    <w:rsid w:val="00983BFF"/>
    <w:rsid w:val="009A109F"/>
    <w:rsid w:val="009D522B"/>
    <w:rsid w:val="00A076B8"/>
    <w:rsid w:val="00A123DC"/>
    <w:rsid w:val="00A16494"/>
    <w:rsid w:val="00A6063E"/>
    <w:rsid w:val="00A71484"/>
    <w:rsid w:val="00A95339"/>
    <w:rsid w:val="00AA33AA"/>
    <w:rsid w:val="00AB450C"/>
    <w:rsid w:val="00AD4FEA"/>
    <w:rsid w:val="00AF0029"/>
    <w:rsid w:val="00AF742F"/>
    <w:rsid w:val="00B176B5"/>
    <w:rsid w:val="00B46EE4"/>
    <w:rsid w:val="00B553D6"/>
    <w:rsid w:val="00BA03F1"/>
    <w:rsid w:val="00BA7041"/>
    <w:rsid w:val="00BC100C"/>
    <w:rsid w:val="00BE0321"/>
    <w:rsid w:val="00C04638"/>
    <w:rsid w:val="00C1226A"/>
    <w:rsid w:val="00C26E4C"/>
    <w:rsid w:val="00C305DA"/>
    <w:rsid w:val="00C34553"/>
    <w:rsid w:val="00C423E3"/>
    <w:rsid w:val="00C470F7"/>
    <w:rsid w:val="00C47FAE"/>
    <w:rsid w:val="00C52745"/>
    <w:rsid w:val="00C6080B"/>
    <w:rsid w:val="00C81E71"/>
    <w:rsid w:val="00CE2C12"/>
    <w:rsid w:val="00CF4DDF"/>
    <w:rsid w:val="00D300A7"/>
    <w:rsid w:val="00D34937"/>
    <w:rsid w:val="00D42253"/>
    <w:rsid w:val="00D65F87"/>
    <w:rsid w:val="00D87727"/>
    <w:rsid w:val="00DB2CA3"/>
    <w:rsid w:val="00DC0078"/>
    <w:rsid w:val="00DF70F0"/>
    <w:rsid w:val="00E010A2"/>
    <w:rsid w:val="00E21A8B"/>
    <w:rsid w:val="00E250EB"/>
    <w:rsid w:val="00E464A1"/>
    <w:rsid w:val="00E535A7"/>
    <w:rsid w:val="00E626A3"/>
    <w:rsid w:val="00E90148"/>
    <w:rsid w:val="00E92007"/>
    <w:rsid w:val="00E938D4"/>
    <w:rsid w:val="00EC03F9"/>
    <w:rsid w:val="00EF2BB9"/>
    <w:rsid w:val="00EF57CB"/>
    <w:rsid w:val="00EF66DB"/>
    <w:rsid w:val="00F029A8"/>
    <w:rsid w:val="00F13434"/>
    <w:rsid w:val="00F1498B"/>
    <w:rsid w:val="00F211FE"/>
    <w:rsid w:val="00F23534"/>
    <w:rsid w:val="00F35DB8"/>
    <w:rsid w:val="00F40E2D"/>
    <w:rsid w:val="00F4622A"/>
    <w:rsid w:val="00F52F00"/>
    <w:rsid w:val="00F53356"/>
    <w:rsid w:val="00FA41BD"/>
    <w:rsid w:val="00FB04C0"/>
    <w:rsid w:val="00FC5C12"/>
    <w:rsid w:val="00FD496E"/>
    <w:rsid w:val="00FD6965"/>
    <w:rsid w:val="00FF1B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8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w:basedOn w:val="Normal"/>
    <w:uiPriority w:val="99"/>
    <w:rsid w:val="003B64DA"/>
    <w:rPr>
      <w:rFonts w:ascii="Verdana" w:hAnsi="Verdana" w:cs="Verdana"/>
      <w:sz w:val="20"/>
      <w:szCs w:val="20"/>
      <w:lang w:val="en-US" w:eastAsia="en-US"/>
    </w:rPr>
  </w:style>
  <w:style w:type="paragraph" w:styleId="PlainText">
    <w:name w:val="Plain Text"/>
    <w:basedOn w:val="Normal"/>
    <w:link w:val="PlainTextChar"/>
    <w:uiPriority w:val="99"/>
    <w:rsid w:val="003B64DA"/>
    <w:pPr>
      <w:spacing w:before="100" w:beforeAutospacing="1" w:after="100" w:afterAutospacing="1"/>
    </w:pPr>
  </w:style>
  <w:style w:type="character" w:customStyle="1" w:styleId="PlainTextChar">
    <w:name w:val="Plain Text Char"/>
    <w:basedOn w:val="DefaultParagraphFont"/>
    <w:link w:val="PlainText"/>
    <w:uiPriority w:val="99"/>
    <w:semiHidden/>
    <w:locked/>
    <w:rsid w:val="00E626A3"/>
    <w:rPr>
      <w:rFonts w:ascii="Courier New" w:hAnsi="Courier New" w:cs="Courier New"/>
      <w:sz w:val="20"/>
      <w:szCs w:val="20"/>
      <w:lang w:val="ru-RU" w:eastAsia="ru-RU"/>
    </w:rPr>
  </w:style>
  <w:style w:type="character" w:styleId="Hyperlink">
    <w:name w:val="Hyperlink"/>
    <w:basedOn w:val="DefaultParagraphFont"/>
    <w:uiPriority w:val="99"/>
    <w:rsid w:val="00BA7041"/>
    <w:rPr>
      <w:rFonts w:cs="Times New Roman"/>
      <w:color w:val="0000FF"/>
      <w:u w:val="single"/>
    </w:rPr>
  </w:style>
  <w:style w:type="paragraph" w:styleId="BalloonText">
    <w:name w:val="Balloon Text"/>
    <w:basedOn w:val="Normal"/>
    <w:link w:val="BalloonTextChar"/>
    <w:uiPriority w:val="99"/>
    <w:semiHidden/>
    <w:rsid w:val="00DF70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6A3"/>
    <w:rPr>
      <w:rFonts w:cs="Times New Roman"/>
      <w:sz w:val="2"/>
      <w:lang w:val="ru-RU" w:eastAsia="ru-RU"/>
    </w:rPr>
  </w:style>
  <w:style w:type="table" w:styleId="TableGrid">
    <w:name w:val="Table Grid"/>
    <w:basedOn w:val="TableNormal"/>
    <w:uiPriority w:val="99"/>
    <w:locked/>
    <w:rsid w:val="007771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23534"/>
    <w:pPr>
      <w:tabs>
        <w:tab w:val="center" w:pos="4819"/>
        <w:tab w:val="right" w:pos="9639"/>
      </w:tabs>
    </w:pPr>
  </w:style>
  <w:style w:type="character" w:customStyle="1" w:styleId="HeaderChar">
    <w:name w:val="Header Char"/>
    <w:basedOn w:val="DefaultParagraphFont"/>
    <w:link w:val="Header"/>
    <w:uiPriority w:val="99"/>
    <w:semiHidden/>
    <w:locked/>
    <w:rsid w:val="00576320"/>
    <w:rPr>
      <w:rFonts w:cs="Times New Roman"/>
      <w:sz w:val="24"/>
      <w:szCs w:val="24"/>
      <w:lang w:val="ru-RU" w:eastAsia="ru-RU"/>
    </w:rPr>
  </w:style>
  <w:style w:type="character" w:styleId="PageNumber">
    <w:name w:val="page number"/>
    <w:basedOn w:val="DefaultParagraphFont"/>
    <w:uiPriority w:val="99"/>
    <w:rsid w:val="00F23534"/>
    <w:rPr>
      <w:rFonts w:cs="Times New Roman"/>
    </w:rPr>
  </w:style>
  <w:style w:type="paragraph" w:customStyle="1" w:styleId="11">
    <w:name w:val="Знак Знак1 Знак Знак Знак Знак1"/>
    <w:basedOn w:val="Normal"/>
    <w:uiPriority w:val="99"/>
    <w:rsid w:val="00556DAD"/>
    <w:rPr>
      <w:rFonts w:ascii="Verdana" w:hAnsi="Verdana" w:cs="Verdana"/>
      <w:sz w:val="20"/>
      <w:szCs w:val="20"/>
      <w:lang w:val="en-US" w:eastAsia="en-US"/>
    </w:rPr>
  </w:style>
  <w:style w:type="character" w:customStyle="1" w:styleId="BodyTextChar1">
    <w:name w:val="Body Text Char1"/>
    <w:uiPriority w:val="99"/>
    <w:locked/>
    <w:rsid w:val="00174321"/>
    <w:rPr>
      <w:spacing w:val="-2"/>
      <w:sz w:val="26"/>
    </w:rPr>
  </w:style>
  <w:style w:type="paragraph" w:styleId="BodyText">
    <w:name w:val="Body Text"/>
    <w:basedOn w:val="Normal"/>
    <w:link w:val="BodyTextChar"/>
    <w:uiPriority w:val="99"/>
    <w:rsid w:val="00174321"/>
    <w:pPr>
      <w:widowControl w:val="0"/>
      <w:shd w:val="clear" w:color="auto" w:fill="FFFFFF"/>
      <w:spacing w:before="300" w:line="317" w:lineRule="exact"/>
    </w:pPr>
    <w:rPr>
      <w:spacing w:val="-2"/>
      <w:sz w:val="26"/>
      <w:szCs w:val="26"/>
    </w:rPr>
  </w:style>
  <w:style w:type="character" w:customStyle="1" w:styleId="BodyTextChar">
    <w:name w:val="Body Text Char"/>
    <w:basedOn w:val="DefaultParagraphFont"/>
    <w:link w:val="BodyText"/>
    <w:uiPriority w:val="99"/>
    <w:semiHidden/>
    <w:locked/>
    <w:rsid w:val="00395510"/>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827892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244</TotalTime>
  <Pages>4</Pages>
  <Words>1705</Words>
  <Characters>9721</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Підсумковий висновок за результатами моніторингу реалізації  проектів громадських організацій за рахунок бюджетних коштів у 2012 році</dc:title>
  <dc:subject/>
  <dc:creator>Friend</dc:creator>
  <cp:keywords/>
  <dc:description/>
  <cp:lastModifiedBy>WiZaRd</cp:lastModifiedBy>
  <cp:revision>17</cp:revision>
  <cp:lastPrinted>2017-03-13T10:25:00Z</cp:lastPrinted>
  <dcterms:created xsi:type="dcterms:W3CDTF">2017-03-09T16:22:00Z</dcterms:created>
  <dcterms:modified xsi:type="dcterms:W3CDTF">2017-03-13T10:26:00Z</dcterms:modified>
</cp:coreProperties>
</file>